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797C2F" w14:textId="56DEFF9D" w:rsidR="006413E0" w:rsidRDefault="006413E0">
      <w:pPr>
        <w:rPr>
          <w:b/>
          <w:bCs/>
        </w:rPr>
      </w:pPr>
      <w:r w:rsidRPr="006413E0">
        <w:rPr>
          <w:b/>
          <w:bCs/>
        </w:rPr>
        <w:t xml:space="preserve">Independent Assessor worked </w:t>
      </w:r>
      <w:r w:rsidR="00815658">
        <w:rPr>
          <w:b/>
          <w:bCs/>
        </w:rPr>
        <w:t xml:space="preserve">hours </w:t>
      </w:r>
      <w:r w:rsidRPr="006413E0">
        <w:rPr>
          <w:b/>
          <w:bCs/>
        </w:rPr>
        <w:t>example</w:t>
      </w:r>
    </w:p>
    <w:p w14:paraId="44011C73" w14:textId="79AD4FA0" w:rsidR="00DB4749" w:rsidRDefault="00DB4749">
      <w:pPr>
        <w:rPr>
          <w:b/>
          <w:bCs/>
        </w:rPr>
      </w:pPr>
    </w:p>
    <w:p w14:paraId="08D4A3E4" w14:textId="494F2830" w:rsidR="00DB4749" w:rsidRDefault="00DB4749">
      <w:pPr>
        <w:rPr>
          <w:b/>
          <w:bCs/>
        </w:rPr>
      </w:pPr>
      <w:r>
        <w:rPr>
          <w:b/>
          <w:bCs/>
        </w:rPr>
        <w:t>Introduction:</w:t>
      </w:r>
    </w:p>
    <w:p w14:paraId="1E80111B" w14:textId="321CF234" w:rsidR="00BD46BF" w:rsidRDefault="00BD46BF">
      <w:pPr>
        <w:rPr>
          <w:b/>
          <w:bCs/>
        </w:rPr>
      </w:pPr>
    </w:p>
    <w:p w14:paraId="636624C5" w14:textId="77777777" w:rsidR="00BD46BF" w:rsidRDefault="00BD46BF" w:rsidP="00BD46BF">
      <w:r>
        <w:t xml:space="preserve">After consultation with Departmental Apprenticeship leads across all Colleges, we have worked with HR in reviewing the level of work, pay rate and how </w:t>
      </w:r>
      <w:proofErr w:type="gramStart"/>
      <w:r>
        <w:t>this matches</w:t>
      </w:r>
      <w:proofErr w:type="gramEnd"/>
      <w:r>
        <w:t xml:space="preserve"> to other roles across the organisation we use under our Casual Worker Policy. </w:t>
      </w:r>
    </w:p>
    <w:p w14:paraId="609D7833" w14:textId="77777777" w:rsidR="00BD46BF" w:rsidRDefault="00BD46BF" w:rsidP="00BD46BF"/>
    <w:p w14:paraId="1419262E" w14:textId="77777777" w:rsidR="00BD46BF" w:rsidRDefault="00BD46BF" w:rsidP="00BD46BF">
      <w:r>
        <w:t xml:space="preserve">The Category G band, </w:t>
      </w:r>
      <w:r>
        <w:rPr>
          <w:b/>
          <w:bCs/>
        </w:rPr>
        <w:t>£18.50</w:t>
      </w:r>
      <w:r>
        <w:t xml:space="preserve"> (paid at </w:t>
      </w:r>
      <w:r>
        <w:rPr>
          <w:b/>
          <w:bCs/>
        </w:rPr>
        <w:t>£20.73</w:t>
      </w:r>
      <w:r>
        <w:t xml:space="preserve"> after incorporating holiday allowance) as of September 2020 has been agreed as our rate of pay. </w:t>
      </w:r>
    </w:p>
    <w:p w14:paraId="23DA6A89" w14:textId="77777777" w:rsidR="00BD46BF" w:rsidRDefault="00BD46BF" w:rsidP="00BD46BF"/>
    <w:p w14:paraId="0D35C99D" w14:textId="77777777" w:rsidR="00BD46BF" w:rsidRDefault="00BD46BF" w:rsidP="00BD46BF">
      <w:r>
        <w:t>Departments may feel the higher Category H rate is justified depending on the specific requirements of the Assessment Plan for their apprenticeship and better for recruiting to the IA role, however we have needed to be mindful of selecting a pay rate which is both in-line with the University Casual Worker roles and within the EPA costing allowance set out in departments business plan, previously approved by your Faculty/College.</w:t>
      </w:r>
    </w:p>
    <w:p w14:paraId="63843638" w14:textId="77777777" w:rsidR="00BD46BF" w:rsidRDefault="00BD46BF" w:rsidP="00BD46BF"/>
    <w:p w14:paraId="6220E64C" w14:textId="368B9938" w:rsidR="00BD46BF" w:rsidRDefault="00BD46BF" w:rsidP="00BD46BF">
      <w:r>
        <w:t xml:space="preserve">We will however review </w:t>
      </w:r>
      <w:r w:rsidR="00DB4749">
        <w:t xml:space="preserve">how </w:t>
      </w:r>
      <w:r>
        <w:t xml:space="preserve">Independent Assessors are undertaking </w:t>
      </w:r>
      <w:r w:rsidR="00DB4749">
        <w:t xml:space="preserve">their role </w:t>
      </w:r>
      <w:r>
        <w:t xml:space="preserve">and gather feedback from departments if any apprenticeship standards </w:t>
      </w:r>
      <w:proofErr w:type="gramStart"/>
      <w:r>
        <w:t>is</w:t>
      </w:r>
      <w:proofErr w:type="gramEnd"/>
      <w:r>
        <w:t xml:space="preserve"> proving difficult to recruit in relation to the rate of pay.</w:t>
      </w:r>
    </w:p>
    <w:p w14:paraId="232FD74A" w14:textId="77777777" w:rsidR="00BD46BF" w:rsidRDefault="00BD46BF" w:rsidP="00BD46BF"/>
    <w:p w14:paraId="7D62F803" w14:textId="77777777" w:rsidR="00BD46BF" w:rsidRDefault="00BD46BF" w:rsidP="00BD46BF">
      <w:r>
        <w:t xml:space="preserve">To aid course teams, we have attached a worked IA hours example, including a typical allowance of hours for delivery, based on consultation with academic leads. The number of hours is not </w:t>
      </w:r>
      <w:proofErr w:type="gramStart"/>
      <w:r>
        <w:t>fixed</w:t>
      </w:r>
      <w:proofErr w:type="gramEnd"/>
      <w:r>
        <w:t xml:space="preserve"> and departments will need to agree this to meet the needs of their specific Assessment Plans and having regard to the Business Model for delivery.</w:t>
      </w:r>
    </w:p>
    <w:p w14:paraId="58D18BE4" w14:textId="77777777" w:rsidR="00BD46BF" w:rsidRDefault="00BD46BF" w:rsidP="00BD46BF"/>
    <w:p w14:paraId="79F08CF4" w14:textId="77777777" w:rsidR="00BD46BF" w:rsidRDefault="00BD46BF" w:rsidP="00BD46BF">
      <w:pPr>
        <w:rPr>
          <w:color w:val="1F497D"/>
        </w:rPr>
      </w:pPr>
      <w:r>
        <w:t xml:space="preserve">Departments recruiting to Independent Assessors can now access the new job description via the Casual Worker Gateway --&gt; job descriptions --&gt; under </w:t>
      </w:r>
      <w:r>
        <w:rPr>
          <w:b/>
          <w:bCs/>
        </w:rPr>
        <w:t>‘I’</w:t>
      </w:r>
      <w:r>
        <w:t xml:space="preserve"> on the index (Independent Assessor – EPA): </w:t>
      </w:r>
      <w:hyperlink r:id="rId4" w:history="1">
        <w:r>
          <w:rPr>
            <w:rStyle w:val="Hyperlink"/>
          </w:rPr>
          <w:t>https://sheffieldhallam.sharepoint.com/sites/3005/astaff/casuals/SitePages/jobdesc.aspx</w:t>
        </w:r>
      </w:hyperlink>
      <w:r>
        <w:rPr>
          <w:color w:val="1F497D"/>
        </w:rPr>
        <w:t xml:space="preserve"> </w:t>
      </w:r>
    </w:p>
    <w:p w14:paraId="1C5C78C2" w14:textId="77777777" w:rsidR="00BD46BF" w:rsidRDefault="00BD46BF" w:rsidP="00BD46BF"/>
    <w:p w14:paraId="229177BB" w14:textId="77777777" w:rsidR="00BD46BF" w:rsidRDefault="00BD46BF" w:rsidP="00BD46BF">
      <w:r>
        <w:t>Please also be advised that colleagues must follow the standard HR right to work checks process when recruiting:</w:t>
      </w:r>
    </w:p>
    <w:p w14:paraId="41AAFED3" w14:textId="77777777" w:rsidR="00BD46BF" w:rsidRDefault="00BD46BF" w:rsidP="00BD46BF"/>
    <w:p w14:paraId="57FEBFD7" w14:textId="77777777" w:rsidR="00BD46BF" w:rsidRDefault="00BD46BF" w:rsidP="00BD46BF">
      <w:pPr>
        <w:rPr>
          <w:color w:val="1F497D"/>
        </w:rPr>
      </w:pPr>
      <w:hyperlink r:id="rId5" w:history="1">
        <w:r>
          <w:rPr>
            <w:rStyle w:val="Hyperlink"/>
          </w:rPr>
          <w:t>https://sheffieldhallam.sharepoint.com/sites/3005/recruitment/eligibility/SitePages/home.aspx</w:t>
        </w:r>
      </w:hyperlink>
    </w:p>
    <w:p w14:paraId="1B8493FA" w14:textId="77777777" w:rsidR="00BD46BF" w:rsidRPr="006413E0" w:rsidRDefault="00BD46BF">
      <w:pPr>
        <w:rPr>
          <w:b/>
          <w:bCs/>
        </w:rPr>
      </w:pPr>
    </w:p>
    <w:p w14:paraId="09FAEE0F" w14:textId="2481D1FC" w:rsidR="006413E0" w:rsidRDefault="006413E0"/>
    <w:p w14:paraId="236185D1" w14:textId="3CC7B9A4" w:rsidR="00DB4749" w:rsidRPr="00DB4749" w:rsidRDefault="00DB4749">
      <w:pPr>
        <w:rPr>
          <w:b/>
          <w:bCs/>
        </w:rPr>
      </w:pPr>
      <w:r w:rsidRPr="00DB4749">
        <w:rPr>
          <w:b/>
          <w:bCs/>
        </w:rPr>
        <w:t>Illustration overleaf:</w:t>
      </w:r>
    </w:p>
    <w:p w14:paraId="55298ABD" w14:textId="35BC5D69" w:rsidR="00DB4749" w:rsidRPr="00DB4749" w:rsidRDefault="00DB4749">
      <w:pPr>
        <w:spacing w:after="160" w:line="259" w:lineRule="auto"/>
        <w:rPr>
          <w:b/>
          <w:bCs/>
        </w:rPr>
      </w:pPr>
      <w:r w:rsidRPr="00DB4749">
        <w:rPr>
          <w:b/>
          <w:bCs/>
        </w:rPr>
        <w:br w:type="page"/>
      </w:r>
    </w:p>
    <w:p w14:paraId="16585C70" w14:textId="77777777" w:rsidR="00DB4749" w:rsidRDefault="00DB4749"/>
    <w:tbl>
      <w:tblPr>
        <w:tblW w:w="0" w:type="auto"/>
        <w:tblCellMar>
          <w:left w:w="0" w:type="dxa"/>
          <w:right w:w="0" w:type="dxa"/>
        </w:tblCellMar>
        <w:tblLook w:val="04A0" w:firstRow="1" w:lastRow="0" w:firstColumn="1" w:lastColumn="0" w:noHBand="0" w:noVBand="1"/>
      </w:tblPr>
      <w:tblGrid>
        <w:gridCol w:w="4029"/>
        <w:gridCol w:w="1700"/>
        <w:gridCol w:w="2787"/>
        <w:gridCol w:w="5442"/>
      </w:tblGrid>
      <w:tr w:rsidR="006413E0" w14:paraId="6E61CF45" w14:textId="77777777" w:rsidTr="006413E0">
        <w:tc>
          <w:tcPr>
            <w:tcW w:w="13524" w:type="dxa"/>
            <w:gridSpan w:val="4"/>
            <w:tcBorders>
              <w:top w:val="nil"/>
              <w:left w:val="nil"/>
              <w:bottom w:val="single" w:sz="8" w:space="0" w:color="auto"/>
              <w:right w:val="nil"/>
            </w:tcBorders>
            <w:tcMar>
              <w:top w:w="0" w:type="dxa"/>
              <w:left w:w="108" w:type="dxa"/>
              <w:bottom w:w="0" w:type="dxa"/>
              <w:right w:w="108" w:type="dxa"/>
            </w:tcMar>
          </w:tcPr>
          <w:p w14:paraId="040FD4C2" w14:textId="555F314C" w:rsidR="006413E0" w:rsidRDefault="006413E0">
            <w:pPr>
              <w:rPr>
                <w:b/>
                <w:bCs/>
              </w:rPr>
            </w:pPr>
          </w:p>
        </w:tc>
      </w:tr>
      <w:tr w:rsidR="006413E0" w14:paraId="2DB3FA75" w14:textId="77777777" w:rsidTr="006413E0">
        <w:tc>
          <w:tcPr>
            <w:tcW w:w="50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597E22" w14:textId="77777777" w:rsidR="006413E0" w:rsidRDefault="006413E0">
            <w:pPr>
              <w:rPr>
                <w:b/>
                <w:bCs/>
              </w:rPr>
            </w:pPr>
            <w:r>
              <w:rPr>
                <w:b/>
                <w:bCs/>
              </w:rPr>
              <w:t>Activity</w:t>
            </w:r>
          </w:p>
        </w:tc>
        <w:tc>
          <w:tcPr>
            <w:tcW w:w="4359"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9489FC4" w14:textId="77777777" w:rsidR="006413E0" w:rsidRDefault="006413E0">
            <w:r>
              <w:t>T</w:t>
            </w:r>
            <w:r>
              <w:rPr>
                <w:b/>
                <w:bCs/>
              </w:rPr>
              <w:t>ypical Time Allowance</w:t>
            </w:r>
          </w:p>
        </w:tc>
        <w:tc>
          <w:tcPr>
            <w:tcW w:w="4134" w:type="dxa"/>
            <w:tcBorders>
              <w:top w:val="nil"/>
              <w:left w:val="nil"/>
              <w:bottom w:val="single" w:sz="8" w:space="0" w:color="auto"/>
              <w:right w:val="single" w:sz="8" w:space="0" w:color="auto"/>
            </w:tcBorders>
            <w:tcMar>
              <w:top w:w="0" w:type="dxa"/>
              <w:left w:w="108" w:type="dxa"/>
              <w:bottom w:w="0" w:type="dxa"/>
              <w:right w:w="108" w:type="dxa"/>
            </w:tcMar>
            <w:hideMark/>
          </w:tcPr>
          <w:p w14:paraId="3225EBA2" w14:textId="77777777" w:rsidR="006413E0" w:rsidRDefault="006413E0">
            <w:pPr>
              <w:rPr>
                <w:b/>
                <w:bCs/>
              </w:rPr>
            </w:pPr>
            <w:r>
              <w:rPr>
                <w:b/>
                <w:bCs/>
              </w:rPr>
              <w:t>Agreed Payment</w:t>
            </w:r>
          </w:p>
          <w:p w14:paraId="73CD7FFD" w14:textId="77777777" w:rsidR="006413E0" w:rsidRDefault="006413E0">
            <w:pPr>
              <w:rPr>
                <w:i/>
                <w:iCs/>
              </w:rPr>
            </w:pPr>
            <w:r>
              <w:rPr>
                <w:i/>
                <w:iCs/>
              </w:rPr>
              <w:t>(</w:t>
            </w:r>
            <w:r>
              <w:rPr>
                <w:i/>
                <w:iCs/>
                <w:highlight w:val="yellow"/>
              </w:rPr>
              <w:t>E.g.</w:t>
            </w:r>
            <w:r>
              <w:rPr>
                <w:i/>
                <w:iCs/>
              </w:rPr>
              <w:t xml:space="preserve"> Using allowance of £20.73 per hour)</w:t>
            </w:r>
          </w:p>
        </w:tc>
      </w:tr>
      <w:tr w:rsidR="006413E0" w14:paraId="5FE693A4" w14:textId="77777777" w:rsidTr="006413E0">
        <w:tc>
          <w:tcPr>
            <w:tcW w:w="5031" w:type="dxa"/>
            <w:tcBorders>
              <w:top w:val="nil"/>
              <w:left w:val="single" w:sz="8" w:space="0" w:color="auto"/>
              <w:bottom w:val="single" w:sz="8" w:space="0" w:color="auto"/>
              <w:right w:val="single" w:sz="8" w:space="0" w:color="auto"/>
            </w:tcBorders>
            <w:shd w:val="clear" w:color="auto" w:fill="E5B8B7"/>
            <w:tcMar>
              <w:top w:w="0" w:type="dxa"/>
              <w:left w:w="108" w:type="dxa"/>
              <w:bottom w:w="0" w:type="dxa"/>
              <w:right w:w="108" w:type="dxa"/>
            </w:tcMar>
            <w:hideMark/>
          </w:tcPr>
          <w:p w14:paraId="6C9C238E" w14:textId="77777777" w:rsidR="006413E0" w:rsidRDefault="006413E0">
            <w:pPr>
              <w:ind w:left="142"/>
            </w:pPr>
            <w:r>
              <w:t>Induction (standard rate)</w:t>
            </w:r>
          </w:p>
        </w:tc>
        <w:tc>
          <w:tcPr>
            <w:tcW w:w="4359" w:type="dxa"/>
            <w:gridSpan w:val="2"/>
            <w:tcBorders>
              <w:top w:val="nil"/>
              <w:left w:val="nil"/>
              <w:bottom w:val="single" w:sz="8" w:space="0" w:color="auto"/>
              <w:right w:val="single" w:sz="8" w:space="0" w:color="auto"/>
            </w:tcBorders>
            <w:shd w:val="clear" w:color="auto" w:fill="E5B8B7"/>
            <w:tcMar>
              <w:top w:w="0" w:type="dxa"/>
              <w:left w:w="108" w:type="dxa"/>
              <w:bottom w:w="0" w:type="dxa"/>
              <w:right w:w="108" w:type="dxa"/>
            </w:tcMar>
            <w:hideMark/>
          </w:tcPr>
          <w:p w14:paraId="3D0D029C" w14:textId="77777777" w:rsidR="006413E0" w:rsidRDefault="006413E0">
            <w:r>
              <w:t xml:space="preserve">3 </w:t>
            </w:r>
            <w:proofErr w:type="gramStart"/>
            <w:r>
              <w:t>hours  (</w:t>
            </w:r>
            <w:proofErr w:type="gramEnd"/>
            <w:r>
              <w:t>one off payment in year 1)</w:t>
            </w:r>
          </w:p>
        </w:tc>
        <w:tc>
          <w:tcPr>
            <w:tcW w:w="4134" w:type="dxa"/>
            <w:tcBorders>
              <w:top w:val="nil"/>
              <w:left w:val="nil"/>
              <w:bottom w:val="single" w:sz="8" w:space="0" w:color="auto"/>
              <w:right w:val="single" w:sz="8" w:space="0" w:color="auto"/>
            </w:tcBorders>
            <w:shd w:val="clear" w:color="auto" w:fill="E5B8B7"/>
            <w:tcMar>
              <w:top w:w="0" w:type="dxa"/>
              <w:left w:w="108" w:type="dxa"/>
              <w:bottom w:w="0" w:type="dxa"/>
              <w:right w:w="108" w:type="dxa"/>
            </w:tcMar>
            <w:hideMark/>
          </w:tcPr>
          <w:p w14:paraId="3729F69C" w14:textId="77777777" w:rsidR="006413E0" w:rsidRDefault="006413E0">
            <w:r>
              <w:t>(1</w:t>
            </w:r>
            <w:r>
              <w:rPr>
                <w:vertAlign w:val="superscript"/>
              </w:rPr>
              <w:t>st</w:t>
            </w:r>
            <w:r>
              <w:t xml:space="preserve"> year </w:t>
            </w:r>
            <w:proofErr w:type="gramStart"/>
            <w:r>
              <w:t>only)  £</w:t>
            </w:r>
            <w:proofErr w:type="gramEnd"/>
            <w:r>
              <w:t>62</w:t>
            </w:r>
          </w:p>
        </w:tc>
      </w:tr>
      <w:tr w:rsidR="006413E0" w14:paraId="1DFCD7AA" w14:textId="77777777" w:rsidTr="006413E0">
        <w:tc>
          <w:tcPr>
            <w:tcW w:w="5031" w:type="dxa"/>
            <w:tcBorders>
              <w:top w:val="nil"/>
              <w:left w:val="single" w:sz="8" w:space="0" w:color="auto"/>
              <w:bottom w:val="single" w:sz="8" w:space="0" w:color="auto"/>
              <w:right w:val="single" w:sz="8" w:space="0" w:color="auto"/>
            </w:tcBorders>
            <w:shd w:val="clear" w:color="auto" w:fill="D6E3BC"/>
            <w:tcMar>
              <w:top w:w="0" w:type="dxa"/>
              <w:left w:w="108" w:type="dxa"/>
              <w:bottom w:w="0" w:type="dxa"/>
              <w:right w:w="108" w:type="dxa"/>
            </w:tcMar>
            <w:hideMark/>
          </w:tcPr>
          <w:p w14:paraId="2BBAD3AB" w14:textId="77777777" w:rsidR="006413E0" w:rsidRDefault="006413E0">
            <w:pPr>
              <w:ind w:left="142"/>
            </w:pPr>
            <w:r>
              <w:t>Providing / updating CV and CPD records (standard rate)</w:t>
            </w:r>
          </w:p>
        </w:tc>
        <w:tc>
          <w:tcPr>
            <w:tcW w:w="4359" w:type="dxa"/>
            <w:gridSpan w:val="2"/>
            <w:tcBorders>
              <w:top w:val="nil"/>
              <w:left w:val="nil"/>
              <w:bottom w:val="single" w:sz="8" w:space="0" w:color="auto"/>
              <w:right w:val="single" w:sz="8" w:space="0" w:color="auto"/>
            </w:tcBorders>
            <w:shd w:val="clear" w:color="auto" w:fill="D6E3BC"/>
            <w:tcMar>
              <w:top w:w="0" w:type="dxa"/>
              <w:left w:w="108" w:type="dxa"/>
              <w:bottom w:w="0" w:type="dxa"/>
              <w:right w:w="108" w:type="dxa"/>
            </w:tcMar>
            <w:hideMark/>
          </w:tcPr>
          <w:p w14:paraId="39571FD6" w14:textId="77777777" w:rsidR="006413E0" w:rsidRDefault="006413E0">
            <w:r>
              <w:t>0.25 hours</w:t>
            </w:r>
          </w:p>
        </w:tc>
        <w:tc>
          <w:tcPr>
            <w:tcW w:w="4134" w:type="dxa"/>
            <w:tcBorders>
              <w:top w:val="nil"/>
              <w:left w:val="nil"/>
              <w:bottom w:val="single" w:sz="8" w:space="0" w:color="auto"/>
              <w:right w:val="single" w:sz="8" w:space="0" w:color="auto"/>
            </w:tcBorders>
            <w:shd w:val="clear" w:color="auto" w:fill="D6E3BC"/>
            <w:tcMar>
              <w:top w:w="0" w:type="dxa"/>
              <w:left w:w="108" w:type="dxa"/>
              <w:bottom w:w="0" w:type="dxa"/>
              <w:right w:w="108" w:type="dxa"/>
            </w:tcMar>
          </w:tcPr>
          <w:p w14:paraId="5E6D30FA" w14:textId="77777777" w:rsidR="006413E0" w:rsidRDefault="006413E0"/>
        </w:tc>
      </w:tr>
      <w:tr w:rsidR="006413E0" w14:paraId="01B3DDF5" w14:textId="77777777" w:rsidTr="006413E0">
        <w:tc>
          <w:tcPr>
            <w:tcW w:w="5031" w:type="dxa"/>
            <w:tcBorders>
              <w:top w:val="nil"/>
              <w:left w:val="single" w:sz="8" w:space="0" w:color="auto"/>
              <w:bottom w:val="single" w:sz="8" w:space="0" w:color="auto"/>
              <w:right w:val="single" w:sz="8" w:space="0" w:color="auto"/>
            </w:tcBorders>
            <w:shd w:val="clear" w:color="auto" w:fill="D6E3BC"/>
            <w:tcMar>
              <w:top w:w="0" w:type="dxa"/>
              <w:left w:w="108" w:type="dxa"/>
              <w:bottom w:w="0" w:type="dxa"/>
              <w:right w:w="108" w:type="dxa"/>
            </w:tcMar>
            <w:hideMark/>
          </w:tcPr>
          <w:p w14:paraId="07EA5D5E" w14:textId="77777777" w:rsidR="006413E0" w:rsidRDefault="006413E0">
            <w:pPr>
              <w:ind w:left="142"/>
            </w:pPr>
            <w:r>
              <w:t>Completing / updating annual Statements of Independence (standard rate)</w:t>
            </w:r>
          </w:p>
        </w:tc>
        <w:tc>
          <w:tcPr>
            <w:tcW w:w="4359" w:type="dxa"/>
            <w:gridSpan w:val="2"/>
            <w:tcBorders>
              <w:top w:val="nil"/>
              <w:left w:val="nil"/>
              <w:bottom w:val="single" w:sz="8" w:space="0" w:color="auto"/>
              <w:right w:val="single" w:sz="8" w:space="0" w:color="auto"/>
            </w:tcBorders>
            <w:shd w:val="clear" w:color="auto" w:fill="D6E3BC"/>
            <w:tcMar>
              <w:top w:w="0" w:type="dxa"/>
              <w:left w:w="108" w:type="dxa"/>
              <w:bottom w:w="0" w:type="dxa"/>
              <w:right w:w="108" w:type="dxa"/>
            </w:tcMar>
            <w:hideMark/>
          </w:tcPr>
          <w:p w14:paraId="450C9300" w14:textId="77777777" w:rsidR="006413E0" w:rsidRDefault="006413E0">
            <w:r>
              <w:t>0.25 hours</w:t>
            </w:r>
          </w:p>
        </w:tc>
        <w:tc>
          <w:tcPr>
            <w:tcW w:w="4134" w:type="dxa"/>
            <w:tcBorders>
              <w:top w:val="nil"/>
              <w:left w:val="nil"/>
              <w:bottom w:val="single" w:sz="8" w:space="0" w:color="auto"/>
              <w:right w:val="single" w:sz="8" w:space="0" w:color="auto"/>
            </w:tcBorders>
            <w:shd w:val="clear" w:color="auto" w:fill="D6E3BC"/>
            <w:tcMar>
              <w:top w:w="0" w:type="dxa"/>
              <w:left w:w="108" w:type="dxa"/>
              <w:bottom w:w="0" w:type="dxa"/>
              <w:right w:w="108" w:type="dxa"/>
            </w:tcMar>
          </w:tcPr>
          <w:p w14:paraId="0E703527" w14:textId="77777777" w:rsidR="006413E0" w:rsidRDefault="006413E0"/>
        </w:tc>
      </w:tr>
      <w:tr w:rsidR="006413E0" w14:paraId="392C72D0" w14:textId="77777777" w:rsidTr="006413E0">
        <w:tc>
          <w:tcPr>
            <w:tcW w:w="5031" w:type="dxa"/>
            <w:tcBorders>
              <w:top w:val="nil"/>
              <w:left w:val="single" w:sz="8" w:space="0" w:color="auto"/>
              <w:bottom w:val="single" w:sz="8" w:space="0" w:color="auto"/>
              <w:right w:val="single" w:sz="8" w:space="0" w:color="auto"/>
            </w:tcBorders>
            <w:shd w:val="clear" w:color="auto" w:fill="D6E3BC"/>
            <w:tcMar>
              <w:top w:w="0" w:type="dxa"/>
              <w:left w:w="108" w:type="dxa"/>
              <w:bottom w:w="0" w:type="dxa"/>
              <w:right w:w="108" w:type="dxa"/>
            </w:tcMar>
            <w:hideMark/>
          </w:tcPr>
          <w:p w14:paraId="6C56A9BD" w14:textId="77777777" w:rsidR="006413E0" w:rsidRDefault="006413E0">
            <w:pPr>
              <w:ind w:left="142"/>
            </w:pPr>
            <w:r>
              <w:t>Standardisation Meetings (standard rate)</w:t>
            </w:r>
          </w:p>
        </w:tc>
        <w:tc>
          <w:tcPr>
            <w:tcW w:w="4359" w:type="dxa"/>
            <w:gridSpan w:val="2"/>
            <w:tcBorders>
              <w:top w:val="nil"/>
              <w:left w:val="nil"/>
              <w:bottom w:val="single" w:sz="8" w:space="0" w:color="auto"/>
              <w:right w:val="single" w:sz="8" w:space="0" w:color="auto"/>
            </w:tcBorders>
            <w:shd w:val="clear" w:color="auto" w:fill="D6E3BC"/>
            <w:tcMar>
              <w:top w:w="0" w:type="dxa"/>
              <w:left w:w="108" w:type="dxa"/>
              <w:bottom w:w="0" w:type="dxa"/>
              <w:right w:w="108" w:type="dxa"/>
            </w:tcMar>
            <w:hideMark/>
          </w:tcPr>
          <w:p w14:paraId="53BA982B" w14:textId="77777777" w:rsidR="006413E0" w:rsidRDefault="006413E0">
            <w:pPr>
              <w:ind w:left="2880" w:hanging="2880"/>
            </w:pPr>
            <w:r>
              <w:t>1.5 hours</w:t>
            </w:r>
          </w:p>
        </w:tc>
        <w:tc>
          <w:tcPr>
            <w:tcW w:w="4134" w:type="dxa"/>
            <w:tcBorders>
              <w:top w:val="nil"/>
              <w:left w:val="nil"/>
              <w:bottom w:val="single" w:sz="8" w:space="0" w:color="auto"/>
              <w:right w:val="single" w:sz="8" w:space="0" w:color="auto"/>
            </w:tcBorders>
            <w:shd w:val="clear" w:color="auto" w:fill="D6E3BC"/>
            <w:tcMar>
              <w:top w:w="0" w:type="dxa"/>
              <w:left w:w="108" w:type="dxa"/>
              <w:bottom w:w="0" w:type="dxa"/>
              <w:right w:w="108" w:type="dxa"/>
            </w:tcMar>
          </w:tcPr>
          <w:p w14:paraId="386C98BE" w14:textId="77777777" w:rsidR="006413E0" w:rsidRDefault="006413E0">
            <w:pPr>
              <w:ind w:left="2880" w:hanging="2880"/>
            </w:pPr>
          </w:p>
        </w:tc>
      </w:tr>
      <w:tr w:rsidR="006413E0" w14:paraId="6C028AAC" w14:textId="77777777" w:rsidTr="006413E0">
        <w:tc>
          <w:tcPr>
            <w:tcW w:w="5031" w:type="dxa"/>
            <w:tcBorders>
              <w:top w:val="nil"/>
              <w:left w:val="single" w:sz="8" w:space="0" w:color="auto"/>
              <w:bottom w:val="single" w:sz="8" w:space="0" w:color="auto"/>
              <w:right w:val="single" w:sz="8" w:space="0" w:color="auto"/>
            </w:tcBorders>
            <w:shd w:val="clear" w:color="auto" w:fill="D6E3BC"/>
            <w:tcMar>
              <w:top w:w="0" w:type="dxa"/>
              <w:left w:w="108" w:type="dxa"/>
              <w:bottom w:w="0" w:type="dxa"/>
              <w:right w:w="108" w:type="dxa"/>
            </w:tcMar>
            <w:hideMark/>
          </w:tcPr>
          <w:p w14:paraId="793D5B78" w14:textId="77777777" w:rsidR="006413E0" w:rsidRDefault="006413E0">
            <w:pPr>
              <w:ind w:left="142"/>
            </w:pPr>
            <w:r>
              <w:t xml:space="preserve">Annual training event </w:t>
            </w:r>
          </w:p>
        </w:tc>
        <w:tc>
          <w:tcPr>
            <w:tcW w:w="4359" w:type="dxa"/>
            <w:gridSpan w:val="2"/>
            <w:tcBorders>
              <w:top w:val="nil"/>
              <w:left w:val="nil"/>
              <w:bottom w:val="single" w:sz="8" w:space="0" w:color="auto"/>
              <w:right w:val="single" w:sz="8" w:space="0" w:color="auto"/>
            </w:tcBorders>
            <w:shd w:val="clear" w:color="auto" w:fill="D6E3BC"/>
            <w:tcMar>
              <w:top w:w="0" w:type="dxa"/>
              <w:left w:w="108" w:type="dxa"/>
              <w:bottom w:w="0" w:type="dxa"/>
              <w:right w:w="108" w:type="dxa"/>
            </w:tcMar>
            <w:hideMark/>
          </w:tcPr>
          <w:p w14:paraId="41EAF67E" w14:textId="77777777" w:rsidR="006413E0" w:rsidRDefault="006413E0">
            <w:pPr>
              <w:ind w:left="2880" w:hanging="2880"/>
            </w:pPr>
            <w:r>
              <w:t>2 hours</w:t>
            </w:r>
            <w:r>
              <w:rPr>
                <w:sz w:val="20"/>
                <w:szCs w:val="20"/>
              </w:rPr>
              <w:t xml:space="preserve"> </w:t>
            </w:r>
            <w:proofErr w:type="gramStart"/>
            <w:r>
              <w:rPr>
                <w:sz w:val="20"/>
                <w:szCs w:val="20"/>
              </w:rPr>
              <w:t>( e.g.</w:t>
            </w:r>
            <w:proofErr w:type="gramEnd"/>
            <w:r>
              <w:rPr>
                <w:sz w:val="20"/>
                <w:szCs w:val="20"/>
              </w:rPr>
              <w:t xml:space="preserve"> 45 minutes generic  then departmentally)</w:t>
            </w:r>
          </w:p>
        </w:tc>
        <w:tc>
          <w:tcPr>
            <w:tcW w:w="4134" w:type="dxa"/>
            <w:tcBorders>
              <w:top w:val="nil"/>
              <w:left w:val="nil"/>
              <w:bottom w:val="single" w:sz="8" w:space="0" w:color="auto"/>
              <w:right w:val="single" w:sz="8" w:space="0" w:color="auto"/>
            </w:tcBorders>
            <w:shd w:val="clear" w:color="auto" w:fill="D6E3BC"/>
            <w:tcMar>
              <w:top w:w="0" w:type="dxa"/>
              <w:left w:w="108" w:type="dxa"/>
              <w:bottom w:w="0" w:type="dxa"/>
              <w:right w:w="108" w:type="dxa"/>
            </w:tcMar>
          </w:tcPr>
          <w:p w14:paraId="6DFF08D3" w14:textId="77777777" w:rsidR="006413E0" w:rsidRDefault="006413E0">
            <w:pPr>
              <w:ind w:left="2880" w:hanging="2880"/>
            </w:pPr>
          </w:p>
        </w:tc>
      </w:tr>
      <w:tr w:rsidR="006413E0" w14:paraId="7782F4EB" w14:textId="77777777" w:rsidTr="006413E0">
        <w:tc>
          <w:tcPr>
            <w:tcW w:w="5031" w:type="dxa"/>
            <w:tcBorders>
              <w:top w:val="nil"/>
              <w:left w:val="single" w:sz="8" w:space="0" w:color="auto"/>
              <w:bottom w:val="single" w:sz="8" w:space="0" w:color="auto"/>
              <w:right w:val="single" w:sz="8" w:space="0" w:color="auto"/>
            </w:tcBorders>
            <w:shd w:val="clear" w:color="auto" w:fill="D6E3BC"/>
            <w:tcMar>
              <w:top w:w="0" w:type="dxa"/>
              <w:left w:w="108" w:type="dxa"/>
              <w:bottom w:w="0" w:type="dxa"/>
              <w:right w:w="108" w:type="dxa"/>
            </w:tcMar>
            <w:hideMark/>
          </w:tcPr>
          <w:p w14:paraId="388EEAC9" w14:textId="77777777" w:rsidR="006413E0" w:rsidRDefault="006413E0">
            <w:pPr>
              <w:ind w:left="142"/>
            </w:pPr>
            <w:r>
              <w:t xml:space="preserve">Submitting outcomes and </w:t>
            </w:r>
            <w:proofErr w:type="gramStart"/>
            <w:r>
              <w:t>paper work</w:t>
            </w:r>
            <w:proofErr w:type="gramEnd"/>
            <w:r>
              <w:t xml:space="preserve"> / admin /pay claims</w:t>
            </w:r>
          </w:p>
          <w:p w14:paraId="5DD1F610" w14:textId="77777777" w:rsidR="006413E0" w:rsidRDefault="006413E0">
            <w:pPr>
              <w:ind w:left="142"/>
            </w:pPr>
            <w:r>
              <w:t>(may need some flexibility)</w:t>
            </w:r>
          </w:p>
        </w:tc>
        <w:tc>
          <w:tcPr>
            <w:tcW w:w="4359" w:type="dxa"/>
            <w:gridSpan w:val="2"/>
            <w:tcBorders>
              <w:top w:val="nil"/>
              <w:left w:val="nil"/>
              <w:bottom w:val="single" w:sz="8" w:space="0" w:color="auto"/>
              <w:right w:val="single" w:sz="8" w:space="0" w:color="auto"/>
            </w:tcBorders>
            <w:shd w:val="clear" w:color="auto" w:fill="D6E3BC"/>
            <w:tcMar>
              <w:top w:w="0" w:type="dxa"/>
              <w:left w:w="108" w:type="dxa"/>
              <w:bottom w:w="0" w:type="dxa"/>
              <w:right w:w="108" w:type="dxa"/>
            </w:tcMar>
            <w:hideMark/>
          </w:tcPr>
          <w:p w14:paraId="5AD9A3DF" w14:textId="77777777" w:rsidR="006413E0" w:rsidRDefault="006413E0">
            <w:pPr>
              <w:ind w:left="2880" w:hanging="2880"/>
            </w:pPr>
            <w:r>
              <w:t>1 hour</w:t>
            </w:r>
          </w:p>
        </w:tc>
        <w:tc>
          <w:tcPr>
            <w:tcW w:w="4134" w:type="dxa"/>
            <w:tcBorders>
              <w:top w:val="nil"/>
              <w:left w:val="nil"/>
              <w:bottom w:val="single" w:sz="8" w:space="0" w:color="auto"/>
              <w:right w:val="single" w:sz="8" w:space="0" w:color="auto"/>
            </w:tcBorders>
            <w:shd w:val="clear" w:color="auto" w:fill="D6E3BC"/>
            <w:tcMar>
              <w:top w:w="0" w:type="dxa"/>
              <w:left w:w="108" w:type="dxa"/>
              <w:bottom w:w="0" w:type="dxa"/>
              <w:right w:w="108" w:type="dxa"/>
            </w:tcMar>
          </w:tcPr>
          <w:p w14:paraId="6A70769A" w14:textId="77777777" w:rsidR="006413E0" w:rsidRDefault="006413E0">
            <w:pPr>
              <w:ind w:left="2880" w:hanging="2880"/>
            </w:pPr>
          </w:p>
        </w:tc>
      </w:tr>
      <w:tr w:rsidR="006413E0" w14:paraId="2CF1B423" w14:textId="77777777" w:rsidTr="006413E0">
        <w:tc>
          <w:tcPr>
            <w:tcW w:w="5031" w:type="dxa"/>
            <w:tcBorders>
              <w:top w:val="nil"/>
              <w:left w:val="single" w:sz="8" w:space="0" w:color="auto"/>
              <w:bottom w:val="single" w:sz="8" w:space="0" w:color="auto"/>
              <w:right w:val="single" w:sz="8" w:space="0" w:color="auto"/>
            </w:tcBorders>
            <w:shd w:val="clear" w:color="auto" w:fill="D6E3BC"/>
            <w:tcMar>
              <w:top w:w="0" w:type="dxa"/>
              <w:left w:w="108" w:type="dxa"/>
              <w:bottom w:w="0" w:type="dxa"/>
              <w:right w:w="108" w:type="dxa"/>
            </w:tcMar>
            <w:hideMark/>
          </w:tcPr>
          <w:p w14:paraId="75FAC8B0" w14:textId="77777777" w:rsidR="006413E0" w:rsidRDefault="006413E0">
            <w:pPr>
              <w:ind w:left="142"/>
            </w:pPr>
            <w:r>
              <w:t>Attending Boards (standard rate)</w:t>
            </w:r>
          </w:p>
        </w:tc>
        <w:tc>
          <w:tcPr>
            <w:tcW w:w="4359" w:type="dxa"/>
            <w:gridSpan w:val="2"/>
            <w:tcBorders>
              <w:top w:val="nil"/>
              <w:left w:val="nil"/>
              <w:bottom w:val="single" w:sz="8" w:space="0" w:color="auto"/>
              <w:right w:val="single" w:sz="8" w:space="0" w:color="auto"/>
            </w:tcBorders>
            <w:shd w:val="clear" w:color="auto" w:fill="D6E3BC"/>
            <w:tcMar>
              <w:top w:w="0" w:type="dxa"/>
              <w:left w:w="108" w:type="dxa"/>
              <w:bottom w:w="0" w:type="dxa"/>
              <w:right w:w="108" w:type="dxa"/>
            </w:tcMar>
            <w:hideMark/>
          </w:tcPr>
          <w:p w14:paraId="30F208BE" w14:textId="77777777" w:rsidR="006413E0" w:rsidRDefault="006413E0">
            <w:pPr>
              <w:ind w:left="2880" w:hanging="2880"/>
            </w:pPr>
            <w:r>
              <w:t>2 hours</w:t>
            </w:r>
          </w:p>
        </w:tc>
        <w:tc>
          <w:tcPr>
            <w:tcW w:w="4134" w:type="dxa"/>
            <w:tcBorders>
              <w:top w:val="nil"/>
              <w:left w:val="nil"/>
              <w:bottom w:val="single" w:sz="8" w:space="0" w:color="auto"/>
              <w:right w:val="single" w:sz="8" w:space="0" w:color="auto"/>
            </w:tcBorders>
            <w:shd w:val="clear" w:color="auto" w:fill="D6E3BC"/>
            <w:tcMar>
              <w:top w:w="0" w:type="dxa"/>
              <w:left w:w="108" w:type="dxa"/>
              <w:bottom w:w="0" w:type="dxa"/>
              <w:right w:w="108" w:type="dxa"/>
            </w:tcMar>
          </w:tcPr>
          <w:p w14:paraId="50461DCA" w14:textId="77777777" w:rsidR="006413E0" w:rsidRDefault="006413E0">
            <w:pPr>
              <w:ind w:left="2880" w:hanging="2880"/>
            </w:pPr>
          </w:p>
        </w:tc>
      </w:tr>
      <w:tr w:rsidR="006413E0" w14:paraId="25D357E8" w14:textId="77777777" w:rsidTr="006413E0">
        <w:tc>
          <w:tcPr>
            <w:tcW w:w="5031" w:type="dxa"/>
            <w:tcBorders>
              <w:top w:val="nil"/>
              <w:left w:val="single" w:sz="8" w:space="0" w:color="auto"/>
              <w:bottom w:val="single" w:sz="8" w:space="0" w:color="auto"/>
              <w:right w:val="single" w:sz="8" w:space="0" w:color="auto"/>
            </w:tcBorders>
            <w:shd w:val="clear" w:color="auto" w:fill="D6E3BC"/>
            <w:tcMar>
              <w:top w:w="0" w:type="dxa"/>
              <w:left w:w="108" w:type="dxa"/>
              <w:bottom w:w="0" w:type="dxa"/>
              <w:right w:w="108" w:type="dxa"/>
            </w:tcMar>
            <w:hideMark/>
          </w:tcPr>
          <w:p w14:paraId="4F986FD1" w14:textId="77777777" w:rsidR="006413E0" w:rsidRDefault="006413E0">
            <w:pPr>
              <w:ind w:left="142"/>
              <w:rPr>
                <w:b/>
                <w:bCs/>
              </w:rPr>
            </w:pPr>
            <w:r>
              <w:rPr>
                <w:b/>
                <w:bCs/>
              </w:rPr>
              <w:t>TOTAL fixed - per course per annum</w:t>
            </w:r>
          </w:p>
        </w:tc>
        <w:tc>
          <w:tcPr>
            <w:tcW w:w="4359" w:type="dxa"/>
            <w:gridSpan w:val="2"/>
            <w:tcBorders>
              <w:top w:val="nil"/>
              <w:left w:val="nil"/>
              <w:bottom w:val="single" w:sz="8" w:space="0" w:color="auto"/>
              <w:right w:val="single" w:sz="8" w:space="0" w:color="auto"/>
            </w:tcBorders>
            <w:shd w:val="clear" w:color="auto" w:fill="D6E3BC"/>
            <w:tcMar>
              <w:top w:w="0" w:type="dxa"/>
              <w:left w:w="108" w:type="dxa"/>
              <w:bottom w:w="0" w:type="dxa"/>
              <w:right w:w="108" w:type="dxa"/>
            </w:tcMar>
            <w:hideMark/>
          </w:tcPr>
          <w:p w14:paraId="26067B3F" w14:textId="77777777" w:rsidR="006413E0" w:rsidRDefault="006413E0">
            <w:pPr>
              <w:rPr>
                <w:b/>
                <w:bCs/>
              </w:rPr>
            </w:pPr>
            <w:r>
              <w:rPr>
                <w:b/>
                <w:bCs/>
              </w:rPr>
              <w:t>7 hours total</w:t>
            </w:r>
          </w:p>
        </w:tc>
        <w:tc>
          <w:tcPr>
            <w:tcW w:w="4134" w:type="dxa"/>
            <w:tcBorders>
              <w:top w:val="nil"/>
              <w:left w:val="nil"/>
              <w:bottom w:val="single" w:sz="8" w:space="0" w:color="auto"/>
              <w:right w:val="single" w:sz="8" w:space="0" w:color="auto"/>
            </w:tcBorders>
            <w:shd w:val="clear" w:color="auto" w:fill="D6E3BC"/>
            <w:tcMar>
              <w:top w:w="0" w:type="dxa"/>
              <w:left w:w="108" w:type="dxa"/>
              <w:bottom w:w="0" w:type="dxa"/>
              <w:right w:w="108" w:type="dxa"/>
            </w:tcMar>
            <w:hideMark/>
          </w:tcPr>
          <w:p w14:paraId="61B2DCF4" w14:textId="77777777" w:rsidR="006413E0" w:rsidRDefault="006413E0">
            <w:pPr>
              <w:ind w:left="2880" w:hanging="2880"/>
            </w:pPr>
            <w:r>
              <w:rPr>
                <w:i/>
                <w:iCs/>
              </w:rPr>
              <w:t>Say</w:t>
            </w:r>
            <w:r>
              <w:t xml:space="preserve"> £150 fixed retainer for each year</w:t>
            </w:r>
          </w:p>
        </w:tc>
      </w:tr>
      <w:tr w:rsidR="006413E0" w14:paraId="0B2CE3F8" w14:textId="77777777" w:rsidTr="006413E0">
        <w:tc>
          <w:tcPr>
            <w:tcW w:w="5031" w:type="dxa"/>
            <w:tcBorders>
              <w:top w:val="nil"/>
              <w:left w:val="single" w:sz="8" w:space="0" w:color="auto"/>
              <w:bottom w:val="single" w:sz="8" w:space="0" w:color="auto"/>
              <w:right w:val="single" w:sz="8" w:space="0" w:color="auto"/>
            </w:tcBorders>
            <w:shd w:val="clear" w:color="auto" w:fill="A6A6A6"/>
            <w:tcMar>
              <w:top w:w="0" w:type="dxa"/>
              <w:left w:w="108" w:type="dxa"/>
              <w:bottom w:w="0" w:type="dxa"/>
              <w:right w:w="108" w:type="dxa"/>
            </w:tcMar>
            <w:hideMark/>
          </w:tcPr>
          <w:p w14:paraId="37E01BE6" w14:textId="77777777" w:rsidR="006413E0" w:rsidRDefault="006413E0">
            <w:pPr>
              <w:ind w:left="142"/>
            </w:pPr>
            <w:r>
              <w:t>Rate per assessment (probably hourly as methods vary)</w:t>
            </w:r>
          </w:p>
        </w:tc>
        <w:tc>
          <w:tcPr>
            <w:tcW w:w="4359" w:type="dxa"/>
            <w:gridSpan w:val="2"/>
            <w:tcBorders>
              <w:top w:val="nil"/>
              <w:left w:val="nil"/>
              <w:bottom w:val="single" w:sz="8" w:space="0" w:color="auto"/>
              <w:right w:val="single" w:sz="8" w:space="0" w:color="auto"/>
            </w:tcBorders>
            <w:shd w:val="clear" w:color="auto" w:fill="A6A6A6"/>
            <w:tcMar>
              <w:top w:w="0" w:type="dxa"/>
              <w:left w:w="108" w:type="dxa"/>
              <w:bottom w:w="0" w:type="dxa"/>
              <w:right w:w="108" w:type="dxa"/>
            </w:tcMar>
            <w:hideMark/>
          </w:tcPr>
          <w:p w14:paraId="2B9B1E5F" w14:textId="77777777" w:rsidR="006413E0" w:rsidRDefault="006413E0">
            <w:r>
              <w:t>Indicate between 3 hours and up to 4 hours per learner</w:t>
            </w:r>
          </w:p>
          <w:p w14:paraId="78E8F7DA" w14:textId="77777777" w:rsidR="006413E0" w:rsidRDefault="006413E0">
            <w:r>
              <w:t>(depending on the number/type of assessment methods)</w:t>
            </w:r>
          </w:p>
        </w:tc>
        <w:tc>
          <w:tcPr>
            <w:tcW w:w="4134" w:type="dxa"/>
            <w:tcBorders>
              <w:top w:val="nil"/>
              <w:left w:val="nil"/>
              <w:bottom w:val="single" w:sz="8" w:space="0" w:color="auto"/>
              <w:right w:val="single" w:sz="8" w:space="0" w:color="auto"/>
            </w:tcBorders>
            <w:shd w:val="clear" w:color="auto" w:fill="A6A6A6"/>
            <w:tcMar>
              <w:top w:w="0" w:type="dxa"/>
              <w:left w:w="108" w:type="dxa"/>
              <w:bottom w:w="0" w:type="dxa"/>
              <w:right w:w="108" w:type="dxa"/>
            </w:tcMar>
            <w:hideMark/>
          </w:tcPr>
          <w:p w14:paraId="1C796221" w14:textId="77777777" w:rsidR="006413E0" w:rsidRDefault="006413E0">
            <w:pPr>
              <w:ind w:left="2880" w:hanging="2880"/>
            </w:pPr>
            <w:r>
              <w:t xml:space="preserve">3.5 </w:t>
            </w:r>
            <w:proofErr w:type="gramStart"/>
            <w:r>
              <w:t>hours  X</w:t>
            </w:r>
            <w:proofErr w:type="gramEnd"/>
            <w:r>
              <w:t>  20.73    =  £72.56 per learner</w:t>
            </w:r>
          </w:p>
          <w:p w14:paraId="77B6503F" w14:textId="77777777" w:rsidR="006413E0" w:rsidRDefault="006413E0">
            <w:pPr>
              <w:ind w:left="2880" w:hanging="2880"/>
            </w:pPr>
            <w:proofErr w:type="gramStart"/>
            <w:r>
              <w:t>X  20</w:t>
            </w:r>
            <w:proofErr w:type="gramEnd"/>
            <w:r>
              <w:t xml:space="preserve"> learners</w:t>
            </w:r>
          </w:p>
          <w:p w14:paraId="28316CEF" w14:textId="77777777" w:rsidR="006413E0" w:rsidRDefault="006413E0">
            <w:pPr>
              <w:ind w:left="2880" w:hanging="2880"/>
            </w:pPr>
            <w:proofErr w:type="gramStart"/>
            <w:r>
              <w:t>=  £</w:t>
            </w:r>
            <w:proofErr w:type="gramEnd"/>
            <w:r>
              <w:t>1,450 total cohort allowance.</w:t>
            </w:r>
          </w:p>
        </w:tc>
      </w:tr>
      <w:tr w:rsidR="006413E0" w14:paraId="7C6CBC33" w14:textId="77777777" w:rsidTr="006413E0">
        <w:tc>
          <w:tcPr>
            <w:tcW w:w="50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325E16" w14:textId="77777777" w:rsidR="006413E0" w:rsidRDefault="006413E0">
            <w:pPr>
              <w:ind w:left="142"/>
            </w:pPr>
            <w:r>
              <w:t>Travel and Accommodation allowance</w:t>
            </w:r>
          </w:p>
        </w:tc>
        <w:tc>
          <w:tcPr>
            <w:tcW w:w="4359" w:type="dxa"/>
            <w:gridSpan w:val="2"/>
            <w:tcBorders>
              <w:top w:val="nil"/>
              <w:left w:val="nil"/>
              <w:bottom w:val="single" w:sz="8" w:space="0" w:color="auto"/>
              <w:right w:val="single" w:sz="8" w:space="0" w:color="auto"/>
            </w:tcBorders>
            <w:tcMar>
              <w:top w:w="0" w:type="dxa"/>
              <w:left w:w="108" w:type="dxa"/>
              <w:bottom w:w="0" w:type="dxa"/>
              <w:right w:w="108" w:type="dxa"/>
            </w:tcMar>
          </w:tcPr>
          <w:p w14:paraId="2B50464A" w14:textId="77777777" w:rsidR="006413E0" w:rsidRDefault="006413E0">
            <w:pPr>
              <w:ind w:left="2880" w:hanging="2880"/>
            </w:pPr>
          </w:p>
        </w:tc>
        <w:tc>
          <w:tcPr>
            <w:tcW w:w="4134" w:type="dxa"/>
            <w:tcBorders>
              <w:top w:val="nil"/>
              <w:left w:val="nil"/>
              <w:bottom w:val="single" w:sz="8" w:space="0" w:color="auto"/>
              <w:right w:val="single" w:sz="8" w:space="0" w:color="auto"/>
            </w:tcBorders>
            <w:tcMar>
              <w:top w:w="0" w:type="dxa"/>
              <w:left w:w="108" w:type="dxa"/>
              <w:bottom w:w="0" w:type="dxa"/>
              <w:right w:w="108" w:type="dxa"/>
            </w:tcMar>
            <w:hideMark/>
          </w:tcPr>
          <w:p w14:paraId="41A5459F" w14:textId="77777777" w:rsidR="006413E0" w:rsidRDefault="006413E0">
            <w:pPr>
              <w:ind w:left="2880" w:hanging="2880"/>
            </w:pPr>
            <w:r>
              <w:rPr>
                <w:highlight w:val="yellow"/>
              </w:rPr>
              <w:t>e.g. £200 (</w:t>
            </w:r>
            <w:r>
              <w:t>based on actual costs though)</w:t>
            </w:r>
          </w:p>
        </w:tc>
      </w:tr>
      <w:tr w:rsidR="006413E0" w14:paraId="0BBD9CF7" w14:textId="77777777" w:rsidTr="006413E0">
        <w:tc>
          <w:tcPr>
            <w:tcW w:w="50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7CEFC1" w14:textId="77777777" w:rsidR="006413E0" w:rsidRDefault="006413E0">
            <w:pPr>
              <w:ind w:left="142"/>
            </w:pPr>
            <w:r>
              <w:t>Total</w:t>
            </w:r>
          </w:p>
        </w:tc>
        <w:tc>
          <w:tcPr>
            <w:tcW w:w="4359" w:type="dxa"/>
            <w:gridSpan w:val="2"/>
            <w:tcBorders>
              <w:top w:val="nil"/>
              <w:left w:val="nil"/>
              <w:bottom w:val="single" w:sz="8" w:space="0" w:color="auto"/>
              <w:right w:val="single" w:sz="8" w:space="0" w:color="auto"/>
            </w:tcBorders>
            <w:tcMar>
              <w:top w:w="0" w:type="dxa"/>
              <w:left w:w="108" w:type="dxa"/>
              <w:bottom w:w="0" w:type="dxa"/>
              <w:right w:w="108" w:type="dxa"/>
            </w:tcMar>
          </w:tcPr>
          <w:p w14:paraId="3E06A970" w14:textId="77777777" w:rsidR="006413E0" w:rsidRDefault="006413E0">
            <w:pPr>
              <w:ind w:left="2880" w:hanging="2880"/>
            </w:pPr>
          </w:p>
        </w:tc>
        <w:tc>
          <w:tcPr>
            <w:tcW w:w="4134" w:type="dxa"/>
            <w:tcBorders>
              <w:top w:val="nil"/>
              <w:left w:val="nil"/>
              <w:bottom w:val="single" w:sz="8" w:space="0" w:color="auto"/>
              <w:right w:val="single" w:sz="8" w:space="0" w:color="auto"/>
            </w:tcBorders>
            <w:tcMar>
              <w:top w:w="0" w:type="dxa"/>
              <w:left w:w="108" w:type="dxa"/>
              <w:bottom w:w="0" w:type="dxa"/>
              <w:right w:w="108" w:type="dxa"/>
            </w:tcMar>
          </w:tcPr>
          <w:p w14:paraId="209EFDF0" w14:textId="77777777" w:rsidR="006413E0" w:rsidRDefault="006413E0"/>
          <w:p w14:paraId="0E80A846" w14:textId="77777777" w:rsidR="006413E0" w:rsidRDefault="006413E0">
            <w:r>
              <w:t>£1,600 per cohort IA</w:t>
            </w:r>
          </w:p>
          <w:p w14:paraId="78C42EDD" w14:textId="77777777" w:rsidR="006413E0" w:rsidRDefault="006413E0">
            <w:r>
              <w:t>(Excluding travel costs)</w:t>
            </w:r>
          </w:p>
          <w:p w14:paraId="1946BF49" w14:textId="77777777" w:rsidR="006413E0" w:rsidRDefault="006413E0"/>
          <w:p w14:paraId="4A2515AE" w14:textId="77777777" w:rsidR="006413E0" w:rsidRDefault="006413E0">
            <w:r>
              <w:rPr>
                <w:sz w:val="18"/>
                <w:szCs w:val="18"/>
                <w:highlight w:val="yellow"/>
              </w:rPr>
              <w:t>(This would be lower using AL rate, but could increase depending on final rate agreed with HR)</w:t>
            </w:r>
          </w:p>
        </w:tc>
      </w:tr>
      <w:tr w:rsidR="006413E0" w14:paraId="1180E54C" w14:textId="77777777" w:rsidTr="006413E0">
        <w:tc>
          <w:tcPr>
            <w:tcW w:w="5031" w:type="dxa"/>
            <w:vAlign w:val="center"/>
            <w:hideMark/>
          </w:tcPr>
          <w:p w14:paraId="043B60AA" w14:textId="77777777" w:rsidR="006413E0" w:rsidRDefault="006413E0"/>
        </w:tc>
        <w:tc>
          <w:tcPr>
            <w:tcW w:w="1536" w:type="dxa"/>
            <w:vAlign w:val="center"/>
            <w:hideMark/>
          </w:tcPr>
          <w:p w14:paraId="74F7FE52" w14:textId="77777777" w:rsidR="006413E0" w:rsidRDefault="006413E0">
            <w:pPr>
              <w:rPr>
                <w:rFonts w:ascii="Times New Roman" w:eastAsia="Times New Roman" w:hAnsi="Times New Roman" w:cs="Times New Roman"/>
                <w:sz w:val="20"/>
                <w:szCs w:val="20"/>
                <w:lang w:eastAsia="en-GB"/>
              </w:rPr>
            </w:pPr>
          </w:p>
        </w:tc>
        <w:tc>
          <w:tcPr>
            <w:tcW w:w="2823" w:type="dxa"/>
            <w:vAlign w:val="center"/>
            <w:hideMark/>
          </w:tcPr>
          <w:p w14:paraId="68E48234" w14:textId="77777777" w:rsidR="006413E0" w:rsidRDefault="006413E0">
            <w:pPr>
              <w:rPr>
                <w:rFonts w:ascii="Times New Roman" w:eastAsia="Times New Roman" w:hAnsi="Times New Roman" w:cs="Times New Roman"/>
                <w:sz w:val="20"/>
                <w:szCs w:val="20"/>
                <w:lang w:eastAsia="en-GB"/>
              </w:rPr>
            </w:pPr>
          </w:p>
        </w:tc>
        <w:tc>
          <w:tcPr>
            <w:tcW w:w="4134" w:type="dxa"/>
            <w:vAlign w:val="center"/>
            <w:hideMark/>
          </w:tcPr>
          <w:p w14:paraId="2163ECD1" w14:textId="77777777" w:rsidR="006413E0" w:rsidRDefault="006413E0">
            <w:pPr>
              <w:rPr>
                <w:rFonts w:ascii="Times New Roman" w:eastAsia="Times New Roman" w:hAnsi="Times New Roman" w:cs="Times New Roman"/>
                <w:sz w:val="20"/>
                <w:szCs w:val="20"/>
                <w:lang w:eastAsia="en-GB"/>
              </w:rPr>
            </w:pPr>
          </w:p>
        </w:tc>
      </w:tr>
    </w:tbl>
    <w:p w14:paraId="18E94025" w14:textId="77777777" w:rsidR="006413E0" w:rsidRDefault="006413E0" w:rsidP="006413E0">
      <w:pPr>
        <w:rPr>
          <w:color w:val="1F497D"/>
        </w:rPr>
      </w:pPr>
    </w:p>
    <w:p w14:paraId="51C957D2" w14:textId="77777777" w:rsidR="006413E0" w:rsidRDefault="006413E0"/>
    <w:sectPr w:rsidR="006413E0" w:rsidSect="006413E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3E0"/>
    <w:rsid w:val="006413E0"/>
    <w:rsid w:val="00815658"/>
    <w:rsid w:val="00BD46BF"/>
    <w:rsid w:val="00DB47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64A8D"/>
  <w15:chartTrackingRefBased/>
  <w15:docId w15:val="{1B8C36C2-0AD6-4025-A2B5-AD928931B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3E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D46B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3823365">
      <w:bodyDiv w:val="1"/>
      <w:marLeft w:val="0"/>
      <w:marRight w:val="0"/>
      <w:marTop w:val="0"/>
      <w:marBottom w:val="0"/>
      <w:divBdr>
        <w:top w:val="none" w:sz="0" w:space="0" w:color="auto"/>
        <w:left w:val="none" w:sz="0" w:space="0" w:color="auto"/>
        <w:bottom w:val="none" w:sz="0" w:space="0" w:color="auto"/>
        <w:right w:val="none" w:sz="0" w:space="0" w:color="auto"/>
      </w:divBdr>
    </w:div>
    <w:div w:id="104467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heffieldhallam.sharepoint.com/sites/3005/recruitment/eligibility/SitePages/home.aspx" TargetMode="External"/><Relationship Id="rId4" Type="http://schemas.openxmlformats.org/officeDocument/2006/relationships/hyperlink" Target="https://sheffieldhallam.sharepoint.com/sites/3005/astaff/casuals/SitePages/jobdesc.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499</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Bolton, Stephen M</dc:creator>
  <cp:keywords/>
  <dc:description/>
  <cp:lastModifiedBy>Moorwood, Sam</cp:lastModifiedBy>
  <cp:revision>2</cp:revision>
  <dcterms:created xsi:type="dcterms:W3CDTF">2021-05-13T10:18:00Z</dcterms:created>
  <dcterms:modified xsi:type="dcterms:W3CDTF">2021-05-13T10:18:00Z</dcterms:modified>
</cp:coreProperties>
</file>