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C8A5B" w14:textId="7183C72D" w:rsidR="00CA3922" w:rsidRDefault="00096127" w:rsidP="0000628E">
      <w:pPr>
        <w:rPr>
          <w:b/>
          <w:bCs/>
          <w:szCs w:val="20"/>
        </w:rPr>
      </w:pPr>
      <w:r w:rsidRPr="00B555A2">
        <w:rPr>
          <w:noProof/>
          <w:lang w:eastAsia="en-GB"/>
        </w:rPr>
        <mc:AlternateContent>
          <mc:Choice Requires="wps">
            <w:drawing>
              <wp:anchor distT="0" distB="0" distL="114300" distR="114300" simplePos="0" relativeHeight="251716608" behindDoc="0" locked="0" layoutInCell="1" allowOverlap="1" wp14:anchorId="6BC29290" wp14:editId="19FCE98C">
                <wp:simplePos x="0" y="0"/>
                <wp:positionH relativeFrom="column">
                  <wp:posOffset>1423670</wp:posOffset>
                </wp:positionH>
                <wp:positionV relativeFrom="paragraph">
                  <wp:posOffset>-762635</wp:posOffset>
                </wp:positionV>
                <wp:extent cx="3774452" cy="913765"/>
                <wp:effectExtent l="0" t="0" r="0" b="63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52" cy="913765"/>
                        </a:xfrm>
                        <a:prstGeom prst="rect">
                          <a:avLst/>
                        </a:prstGeom>
                        <a:noFill/>
                        <a:ln w="9525">
                          <a:noFill/>
                          <a:miter lim="800000"/>
                          <a:headEnd/>
                          <a:tailEnd/>
                        </a:ln>
                      </wps:spPr>
                      <wps:txbx>
                        <w:txbxContent>
                          <w:p w14:paraId="73B184C4" w14:textId="77777777" w:rsidR="00C7438E" w:rsidRDefault="00C7438E" w:rsidP="007D5159">
                            <w:pPr>
                              <w:spacing w:after="0" w:line="240" w:lineRule="auto"/>
                              <w:jc w:val="center"/>
                              <w:rPr>
                                <w:b/>
                                <w:i/>
                                <w:sz w:val="32"/>
                              </w:rPr>
                            </w:pPr>
                            <w:r w:rsidRPr="00E6354B">
                              <w:rPr>
                                <w:b/>
                                <w:i/>
                                <w:sz w:val="32"/>
                              </w:rPr>
                              <w:t>Apprentice</w:t>
                            </w:r>
                            <w:r>
                              <w:rPr>
                                <w:b/>
                                <w:i/>
                                <w:sz w:val="32"/>
                              </w:rPr>
                              <w:t>ship</w:t>
                            </w:r>
                            <w:r w:rsidRPr="00E6354B">
                              <w:rPr>
                                <w:b/>
                                <w:i/>
                                <w:sz w:val="32"/>
                              </w:rPr>
                              <w:t xml:space="preserve"> Progress Review</w:t>
                            </w:r>
                            <w:r>
                              <w:rPr>
                                <w:b/>
                                <w:i/>
                                <w:sz w:val="32"/>
                              </w:rPr>
                              <w:t xml:space="preserve"> </w:t>
                            </w:r>
                          </w:p>
                          <w:p w14:paraId="0108B267" w14:textId="77777777" w:rsidR="001B579B" w:rsidRDefault="002D45B4" w:rsidP="007D5159">
                            <w:pPr>
                              <w:spacing w:after="0" w:line="240" w:lineRule="auto"/>
                              <w:jc w:val="center"/>
                              <w:rPr>
                                <w:b/>
                                <w:i/>
                                <w:color w:val="A31D6A"/>
                                <w:sz w:val="32"/>
                              </w:rPr>
                            </w:pPr>
                            <w:r>
                              <w:rPr>
                                <w:b/>
                                <w:i/>
                                <w:color w:val="A31D6A"/>
                                <w:sz w:val="32"/>
                              </w:rPr>
                              <w:t xml:space="preserve">Template for On-Boarding </w:t>
                            </w:r>
                          </w:p>
                          <w:p w14:paraId="20C958A3" w14:textId="45B0D848" w:rsidR="00C7438E" w:rsidRPr="007D5159" w:rsidRDefault="002D45B4" w:rsidP="007D5159">
                            <w:pPr>
                              <w:spacing w:after="0" w:line="240" w:lineRule="auto"/>
                              <w:jc w:val="center"/>
                              <w:rPr>
                                <w:b/>
                                <w:i/>
                                <w:color w:val="A31D6A"/>
                                <w:sz w:val="32"/>
                              </w:rPr>
                            </w:pPr>
                            <w:r>
                              <w:rPr>
                                <w:b/>
                                <w:i/>
                                <w:color w:val="A31D6A"/>
                                <w:sz w:val="32"/>
                              </w:rPr>
                              <w:t>First APR</w:t>
                            </w:r>
                            <w:r w:rsidR="001B579B">
                              <w:rPr>
                                <w:b/>
                                <w:i/>
                                <w:color w:val="A31D6A"/>
                                <w:sz w:val="32"/>
                              </w:rPr>
                              <w:t xml:space="preserve"> Annex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29290" id="_x0000_t202" coordsize="21600,21600" o:spt="202" path="m,l,21600r21600,l21600,xe">
                <v:stroke joinstyle="miter"/>
                <v:path gradientshapeok="t" o:connecttype="rect"/>
              </v:shapetype>
              <v:shape id="Text Box 2" o:spid="_x0000_s1026" type="#_x0000_t202" style="position:absolute;margin-left:112.1pt;margin-top:-60.05pt;width:297.2pt;height:7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" filled="f" stroked="f">
                <v:textbox>
                  <w:txbxContent>
                    <w:p w14:paraId="73B184C4" w14:textId="77777777" w:rsidR="00C7438E" w:rsidRDefault="00C7438E" w:rsidP="007D5159">
                      <w:pPr>
                        <w:spacing w:after="0" w:line="240" w:lineRule="auto"/>
                        <w:jc w:val="center"/>
                        <w:rPr>
                          <w:b/>
                          <w:i/>
                          <w:sz w:val="32"/>
                        </w:rPr>
                      </w:pPr>
                      <w:r w:rsidRPr="00E6354B">
                        <w:rPr>
                          <w:b/>
                          <w:i/>
                          <w:sz w:val="32"/>
                        </w:rPr>
                        <w:t>Apprentice</w:t>
                      </w:r>
                      <w:r>
                        <w:rPr>
                          <w:b/>
                          <w:i/>
                          <w:sz w:val="32"/>
                        </w:rPr>
                        <w:t>ship</w:t>
                      </w:r>
                      <w:r w:rsidRPr="00E6354B">
                        <w:rPr>
                          <w:b/>
                          <w:i/>
                          <w:sz w:val="32"/>
                        </w:rPr>
                        <w:t xml:space="preserve"> Progress Review</w:t>
                      </w:r>
                      <w:r>
                        <w:rPr>
                          <w:b/>
                          <w:i/>
                          <w:sz w:val="32"/>
                        </w:rPr>
                        <w:t xml:space="preserve"> </w:t>
                      </w:r>
                    </w:p>
                    <w:p w14:paraId="0108B267" w14:textId="77777777" w:rsidR="001B579B" w:rsidRDefault="002D45B4" w:rsidP="007D5159">
                      <w:pPr>
                        <w:spacing w:after="0" w:line="240" w:lineRule="auto"/>
                        <w:jc w:val="center"/>
                        <w:rPr>
                          <w:b/>
                          <w:i/>
                          <w:color w:val="A31D6A"/>
                          <w:sz w:val="32"/>
                        </w:rPr>
                      </w:pPr>
                      <w:r>
                        <w:rPr>
                          <w:b/>
                          <w:i/>
                          <w:color w:val="A31D6A"/>
                          <w:sz w:val="32"/>
                        </w:rPr>
                        <w:t xml:space="preserve">Template for On-Boarding </w:t>
                      </w:r>
                    </w:p>
                    <w:p w14:paraId="20C958A3" w14:textId="45B0D848" w:rsidR="00C7438E" w:rsidRPr="007D5159" w:rsidRDefault="002D45B4" w:rsidP="007D5159">
                      <w:pPr>
                        <w:spacing w:after="0" w:line="240" w:lineRule="auto"/>
                        <w:jc w:val="center"/>
                        <w:rPr>
                          <w:b/>
                          <w:i/>
                          <w:color w:val="A31D6A"/>
                          <w:sz w:val="32"/>
                        </w:rPr>
                      </w:pPr>
                      <w:r>
                        <w:rPr>
                          <w:b/>
                          <w:i/>
                          <w:color w:val="A31D6A"/>
                          <w:sz w:val="32"/>
                        </w:rPr>
                        <w:t>First APR</w:t>
                      </w:r>
                      <w:r w:rsidR="001B579B">
                        <w:rPr>
                          <w:b/>
                          <w:i/>
                          <w:color w:val="A31D6A"/>
                          <w:sz w:val="32"/>
                        </w:rPr>
                        <w:t xml:space="preserve"> Annex</w:t>
                      </w:r>
                    </w:p>
                  </w:txbxContent>
                </v:textbox>
              </v:shape>
            </w:pict>
          </mc:Fallback>
        </mc:AlternateContent>
      </w:r>
      <w:r w:rsidRPr="00E94116">
        <w:rPr>
          <w:b/>
          <w:bCs/>
          <w:noProof/>
          <w:lang w:eastAsia="en-GB"/>
        </w:rPr>
        <w:drawing>
          <wp:anchor distT="0" distB="0" distL="114300" distR="114300" simplePos="0" relativeHeight="251719680" behindDoc="1" locked="0" layoutInCell="1" allowOverlap="1" wp14:anchorId="4490C9CE" wp14:editId="019AC7CB">
            <wp:simplePos x="0" y="0"/>
            <wp:positionH relativeFrom="column">
              <wp:posOffset>5638800</wp:posOffset>
            </wp:positionH>
            <wp:positionV relativeFrom="paragraph">
              <wp:posOffset>-871855</wp:posOffset>
            </wp:positionV>
            <wp:extent cx="970280" cy="467995"/>
            <wp:effectExtent l="0" t="0" r="1270" b="8255"/>
            <wp:wrapNone/>
            <wp:docPr id="302" name="irc_mi" descr="Image result for esfa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c_mi" descr="Image result for esfa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0280" cy="4679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740" w:type="dxa"/>
        <w:tblLook w:val="04A0" w:firstRow="1" w:lastRow="0" w:firstColumn="1" w:lastColumn="0" w:noHBand="0" w:noVBand="1"/>
      </w:tblPr>
      <w:tblGrid>
        <w:gridCol w:w="2313"/>
        <w:gridCol w:w="4883"/>
        <w:gridCol w:w="2126"/>
        <w:gridCol w:w="1418"/>
      </w:tblGrid>
      <w:tr w:rsidR="00FA6823" w:rsidRPr="00B555A2" w14:paraId="78FA7E4D" w14:textId="77777777" w:rsidTr="00FA6823">
        <w:trPr>
          <w:trHeight w:val="310"/>
        </w:trPr>
        <w:tc>
          <w:tcPr>
            <w:tcW w:w="2313" w:type="dxa"/>
          </w:tcPr>
          <w:p w14:paraId="0987C69B" w14:textId="77777777" w:rsidR="00FA6823" w:rsidRPr="00E94116" w:rsidRDefault="00FA6823" w:rsidP="00C31FBF">
            <w:pPr>
              <w:rPr>
                <w:rFonts w:ascii="Calibri" w:hAnsi="Calibri"/>
                <w:b/>
                <w:bCs/>
              </w:rPr>
            </w:pPr>
            <w:r w:rsidRPr="00E94116">
              <w:rPr>
                <w:rFonts w:ascii="Calibri" w:hAnsi="Calibri"/>
                <w:b/>
                <w:bCs/>
              </w:rPr>
              <w:t>Apprentice's Name:</w:t>
            </w:r>
          </w:p>
        </w:tc>
        <w:tc>
          <w:tcPr>
            <w:tcW w:w="4883" w:type="dxa"/>
          </w:tcPr>
          <w:p w14:paraId="38DAD5CA" w14:textId="77777777" w:rsidR="00FA6823" w:rsidRPr="00B555A2" w:rsidRDefault="00FA6823" w:rsidP="00C31FBF">
            <w:pPr>
              <w:rPr>
                <w:rFonts w:ascii="Calibri" w:hAnsi="Calibri"/>
              </w:rPr>
            </w:pPr>
          </w:p>
        </w:tc>
        <w:tc>
          <w:tcPr>
            <w:tcW w:w="2126" w:type="dxa"/>
          </w:tcPr>
          <w:p w14:paraId="3E488A0A" w14:textId="77777777" w:rsidR="00FA6823" w:rsidRPr="00E94116" w:rsidRDefault="00FA6823" w:rsidP="00C31FBF">
            <w:pPr>
              <w:rPr>
                <w:rFonts w:ascii="Calibri" w:hAnsi="Calibri"/>
                <w:b/>
                <w:bCs/>
              </w:rPr>
            </w:pPr>
            <w:r>
              <w:rPr>
                <w:rFonts w:ascii="Calibri" w:hAnsi="Calibri"/>
                <w:b/>
                <w:bCs/>
              </w:rPr>
              <w:t>Date of Review</w:t>
            </w:r>
          </w:p>
        </w:tc>
        <w:tc>
          <w:tcPr>
            <w:tcW w:w="1418" w:type="dxa"/>
          </w:tcPr>
          <w:p w14:paraId="7FE46B6F" w14:textId="77777777" w:rsidR="00FA6823" w:rsidRPr="00E94116" w:rsidRDefault="00FA6823" w:rsidP="00C31FBF">
            <w:pPr>
              <w:rPr>
                <w:rFonts w:ascii="Calibri" w:hAnsi="Calibri"/>
                <w:b/>
                <w:bCs/>
              </w:rPr>
            </w:pPr>
          </w:p>
        </w:tc>
      </w:tr>
    </w:tbl>
    <w:p w14:paraId="3509554C" w14:textId="24DBA8BF" w:rsidR="001B37C4" w:rsidRDefault="001B37C4" w:rsidP="009529CB">
      <w:pPr>
        <w:tabs>
          <w:tab w:val="left" w:pos="2043"/>
        </w:tabs>
        <w:spacing w:after="0"/>
        <w:rPr>
          <w:b/>
          <w:bCs/>
          <w:sz w:val="18"/>
          <w:szCs w:val="20"/>
        </w:rPr>
      </w:pPr>
    </w:p>
    <w:p w14:paraId="19E55EE9" w14:textId="77777777" w:rsidR="009529CB" w:rsidRPr="009529CB" w:rsidRDefault="009529CB" w:rsidP="009529CB">
      <w:pPr>
        <w:tabs>
          <w:tab w:val="left" w:pos="2043"/>
        </w:tabs>
        <w:spacing w:after="0"/>
        <w:rPr>
          <w:b/>
          <w:bCs/>
          <w:sz w:val="18"/>
          <w:szCs w:val="20"/>
        </w:rPr>
      </w:pPr>
    </w:p>
    <w:tbl>
      <w:tblPr>
        <w:tblStyle w:val="TableGrid"/>
        <w:tblpPr w:leftFromText="180" w:rightFromText="180" w:vertAnchor="text" w:horzAnchor="margin" w:tblpY="262"/>
        <w:tblW w:w="10598" w:type="dxa"/>
        <w:tblLook w:val="04A0" w:firstRow="1" w:lastRow="0" w:firstColumn="1" w:lastColumn="0" w:noHBand="0" w:noVBand="1"/>
      </w:tblPr>
      <w:tblGrid>
        <w:gridCol w:w="1242"/>
        <w:gridCol w:w="9356"/>
      </w:tblGrid>
      <w:tr w:rsidR="00CF1962" w:rsidRPr="000031F0" w14:paraId="6EA55B32" w14:textId="77777777" w:rsidTr="00CF1962">
        <w:trPr>
          <w:trHeight w:val="332"/>
        </w:trPr>
        <w:tc>
          <w:tcPr>
            <w:tcW w:w="10598" w:type="dxa"/>
            <w:gridSpan w:val="2"/>
            <w:shd w:val="clear" w:color="auto" w:fill="D9D9D9" w:themeFill="background1" w:themeFillShade="D9"/>
          </w:tcPr>
          <w:p w14:paraId="0CC4A2C7" w14:textId="77777777" w:rsidR="00CF1962" w:rsidRPr="000031F0" w:rsidRDefault="00CF1962" w:rsidP="00096127">
            <w:pPr>
              <w:rPr>
                <w:color w:val="808080" w:themeColor="background1" w:themeShade="80"/>
              </w:rPr>
            </w:pPr>
            <w:r w:rsidRPr="000031F0">
              <w:rPr>
                <w:rFonts w:cs="Arial"/>
                <w:b/>
                <w:bCs/>
                <w:color w:val="000000"/>
              </w:rPr>
              <w:t>Initial Discussion - Learning on Programme</w:t>
            </w:r>
          </w:p>
        </w:tc>
      </w:tr>
      <w:tr w:rsidR="00182BE0" w:rsidRPr="000031F0" w14:paraId="146CC5F4" w14:textId="77777777" w:rsidTr="0013539C">
        <w:trPr>
          <w:trHeight w:val="3901"/>
        </w:trPr>
        <w:tc>
          <w:tcPr>
            <w:tcW w:w="1242" w:type="dxa"/>
          </w:tcPr>
          <w:p w14:paraId="22E6A99E" w14:textId="77777777" w:rsidR="00182BE0" w:rsidRDefault="00182BE0" w:rsidP="00CF1962">
            <w:pPr>
              <w:rPr>
                <w:color w:val="808080" w:themeColor="background1" w:themeShade="80"/>
              </w:rPr>
            </w:pPr>
          </w:p>
          <w:p w14:paraId="2B7B7AE3" w14:textId="39386126" w:rsidR="00182BE0" w:rsidRDefault="00182BE0" w:rsidP="00CF1962">
            <w:pPr>
              <w:rPr>
                <w:color w:val="808080" w:themeColor="background1" w:themeShade="80"/>
              </w:rPr>
            </w:pPr>
          </w:p>
          <w:p w14:paraId="42F3C858" w14:textId="1D59B422" w:rsidR="00140CF8" w:rsidRDefault="00140CF8" w:rsidP="00CF1962">
            <w:pPr>
              <w:rPr>
                <w:color w:val="808080" w:themeColor="background1" w:themeShade="80"/>
              </w:rPr>
            </w:pPr>
          </w:p>
          <w:p w14:paraId="15603FDD" w14:textId="287ECE03" w:rsidR="00140CF8" w:rsidRDefault="00140CF8" w:rsidP="00CF1962">
            <w:pPr>
              <w:rPr>
                <w:color w:val="808080" w:themeColor="background1" w:themeShade="80"/>
              </w:rPr>
            </w:pPr>
          </w:p>
          <w:p w14:paraId="23B222EE" w14:textId="77777777" w:rsidR="00140CF8" w:rsidRDefault="00140CF8" w:rsidP="00CF1962">
            <w:pPr>
              <w:rPr>
                <w:color w:val="808080" w:themeColor="background1" w:themeShade="80"/>
              </w:rPr>
            </w:pPr>
          </w:p>
          <w:p w14:paraId="3B261D6C" w14:textId="77777777" w:rsidR="00182BE0" w:rsidRDefault="00182BE0" w:rsidP="009529CB">
            <w:pPr>
              <w:rPr>
                <w:color w:val="808080" w:themeColor="background1" w:themeShade="80"/>
              </w:rPr>
            </w:pPr>
            <w:r>
              <w:rPr>
                <w:color w:val="808080" w:themeColor="background1" w:themeShade="80"/>
              </w:rPr>
              <w:t>Notes are optional</w:t>
            </w:r>
          </w:p>
          <w:p w14:paraId="40439299" w14:textId="77777777" w:rsidR="00182BE0" w:rsidRDefault="00182BE0" w:rsidP="009529CB">
            <w:pPr>
              <w:rPr>
                <w:color w:val="808080" w:themeColor="background1" w:themeShade="80"/>
              </w:rPr>
            </w:pPr>
          </w:p>
          <w:p w14:paraId="58A88220" w14:textId="7B5BD3AA" w:rsidR="00182BE0" w:rsidRPr="000031F0" w:rsidRDefault="00182BE0" w:rsidP="009529CB">
            <w:pPr>
              <w:rPr>
                <w:color w:val="808080" w:themeColor="background1" w:themeShade="80"/>
              </w:rPr>
            </w:pPr>
            <w:r>
              <w:rPr>
                <w:bCs/>
                <w:iCs/>
                <w:color w:val="A31D6A"/>
                <w:szCs w:val="16"/>
              </w:rPr>
              <w:t>Action</w:t>
            </w:r>
            <w:r w:rsidRPr="00B4691A">
              <w:rPr>
                <w:bCs/>
                <w:iCs/>
                <w:color w:val="A31D6A"/>
                <w:szCs w:val="16"/>
              </w:rPr>
              <w:t xml:space="preserve"> any concerns</w:t>
            </w:r>
          </w:p>
        </w:tc>
        <w:tc>
          <w:tcPr>
            <w:tcW w:w="9356" w:type="dxa"/>
          </w:tcPr>
          <w:p w14:paraId="0C3D21F2" w14:textId="26B14B7A" w:rsidR="009D663B" w:rsidRDefault="009D663B" w:rsidP="009D663B">
            <w:pPr>
              <w:pStyle w:val="NormalWeb"/>
              <w:spacing w:before="0" w:beforeAutospacing="0" w:after="0" w:afterAutospacing="0"/>
              <w:ind w:left="64"/>
              <w:rPr>
                <w:rFonts w:asciiTheme="minorHAnsi" w:hAnsiTheme="minorHAnsi"/>
                <w:sz w:val="22"/>
                <w:szCs w:val="22"/>
              </w:rPr>
            </w:pPr>
          </w:p>
          <w:p w14:paraId="68E65BC0" w14:textId="454BFDD9" w:rsidR="00182BE0" w:rsidRDefault="00182BE0" w:rsidP="009D663B">
            <w:pPr>
              <w:pStyle w:val="NormalWeb"/>
              <w:spacing w:before="0" w:beforeAutospacing="0" w:after="0" w:afterAutospacing="0"/>
              <w:ind w:left="64"/>
              <w:rPr>
                <w:rFonts w:asciiTheme="minorHAnsi" w:hAnsiTheme="minorHAnsi" w:cs="Arial"/>
                <w:sz w:val="22"/>
                <w:szCs w:val="22"/>
              </w:rPr>
            </w:pPr>
            <w:r w:rsidRPr="009D663B">
              <w:rPr>
                <w:rFonts w:asciiTheme="minorHAnsi" w:hAnsiTheme="minorHAnsi"/>
                <w:sz w:val="22"/>
                <w:szCs w:val="22"/>
              </w:rPr>
              <w:t>In Your Welcome Event and d</w:t>
            </w:r>
            <w:r w:rsidRPr="009D663B">
              <w:rPr>
                <w:rFonts w:asciiTheme="minorHAnsi" w:hAnsiTheme="minorHAnsi" w:cs="Arial"/>
                <w:sz w:val="22"/>
                <w:szCs w:val="22"/>
              </w:rPr>
              <w:t>uring Induction you have been introduced to the underpinning development opportunities and requirements of your Apprenticeship</w:t>
            </w:r>
            <w:r w:rsidR="00140CF8">
              <w:rPr>
                <w:rFonts w:asciiTheme="minorHAnsi" w:hAnsiTheme="minorHAnsi" w:cs="Arial"/>
                <w:sz w:val="22"/>
                <w:szCs w:val="22"/>
              </w:rPr>
              <w:t>.</w:t>
            </w:r>
            <w:r w:rsidR="00140CF8">
              <w:rPr>
                <w:rFonts w:cs="Arial"/>
              </w:rPr>
              <w:t xml:space="preserve"> </w:t>
            </w:r>
            <w:r w:rsidR="00140CF8" w:rsidRPr="00140CF8">
              <w:rPr>
                <w:rFonts w:asciiTheme="minorHAnsi" w:hAnsiTheme="minorHAnsi" w:cs="Arial"/>
                <w:sz w:val="22"/>
                <w:szCs w:val="22"/>
              </w:rPr>
              <w:t xml:space="preserve"> What do you still need to know</w:t>
            </w:r>
            <w:r w:rsidR="00140CF8">
              <w:rPr>
                <w:rFonts w:asciiTheme="minorHAnsi" w:hAnsiTheme="minorHAnsi" w:cs="Arial"/>
                <w:sz w:val="22"/>
                <w:szCs w:val="22"/>
              </w:rPr>
              <w:t xml:space="preserve"> and prioritise</w:t>
            </w:r>
            <w:r w:rsidR="00140CF8" w:rsidRPr="00140CF8">
              <w:rPr>
                <w:rFonts w:asciiTheme="minorHAnsi" w:hAnsiTheme="minorHAnsi" w:cs="Arial"/>
                <w:sz w:val="22"/>
                <w:szCs w:val="22"/>
              </w:rPr>
              <w:t xml:space="preserve"> about the following Information Advice and Guidance</w:t>
            </w:r>
            <w:r w:rsidR="00140CF8">
              <w:rPr>
                <w:rFonts w:asciiTheme="minorHAnsi" w:hAnsiTheme="minorHAnsi" w:cs="Arial"/>
                <w:sz w:val="22"/>
                <w:szCs w:val="22"/>
              </w:rPr>
              <w:t>?</w:t>
            </w:r>
          </w:p>
          <w:p w14:paraId="34ED8E5B" w14:textId="77777777" w:rsidR="00140CF8" w:rsidRPr="009D663B" w:rsidRDefault="00140CF8" w:rsidP="009D663B">
            <w:pPr>
              <w:pStyle w:val="NormalWeb"/>
              <w:spacing w:before="0" w:beforeAutospacing="0" w:after="0" w:afterAutospacing="0"/>
              <w:ind w:left="64"/>
            </w:pPr>
          </w:p>
          <w:p w14:paraId="1CF3297B" w14:textId="5A6223CD" w:rsidR="009D663B" w:rsidRPr="00140CF8" w:rsidRDefault="009D663B" w:rsidP="00182BE0">
            <w:pPr>
              <w:pStyle w:val="ListParagraph"/>
              <w:numPr>
                <w:ilvl w:val="0"/>
                <w:numId w:val="2"/>
              </w:numPr>
              <w:rPr>
                <w:rFonts w:ascii="Calibri" w:eastAsia="Times New Roman" w:hAnsi="Calibri" w:cs="Times New Roman"/>
                <w:color w:val="0000FF"/>
                <w:u w:val="single"/>
                <w:lang w:eastAsia="en-GB"/>
              </w:rPr>
            </w:pPr>
            <w:hyperlink r:id="rId14" w:history="1">
              <w:r>
                <w:rPr>
                  <w:rStyle w:val="Hyperlink"/>
                  <w:rFonts w:ascii="Calibri" w:hAnsi="Calibri"/>
                </w:rPr>
                <w:t>Transition to HE Exercise</w:t>
              </w:r>
            </w:hyperlink>
            <w:r>
              <w:rPr>
                <w:rStyle w:val="Hyperlink"/>
                <w:rFonts w:ascii="Calibri" w:hAnsi="Calibri"/>
              </w:rPr>
              <w:t xml:space="preserve"> </w:t>
            </w:r>
            <w:r w:rsidRPr="009D663B">
              <w:t>(AIIR</w:t>
            </w:r>
            <w:r>
              <w:t>-onboarding section</w:t>
            </w:r>
            <w:r w:rsidRPr="009D663B">
              <w:t>)</w:t>
            </w:r>
          </w:p>
          <w:p w14:paraId="02044C3D" w14:textId="563393E6" w:rsidR="00140CF8" w:rsidRPr="009D663B" w:rsidRDefault="00140CF8" w:rsidP="00182BE0">
            <w:pPr>
              <w:pStyle w:val="ListParagraph"/>
              <w:numPr>
                <w:ilvl w:val="0"/>
                <w:numId w:val="2"/>
              </w:numPr>
              <w:rPr>
                <w:rStyle w:val="Hyperlink"/>
                <w:rFonts w:ascii="Calibri" w:eastAsia="Times New Roman" w:hAnsi="Calibri" w:cs="Times New Roman"/>
                <w:lang w:eastAsia="en-GB"/>
              </w:rPr>
            </w:pPr>
            <w:r w:rsidRPr="00140CF8">
              <w:t>Learner Diagnostic tools from the</w:t>
            </w:r>
            <w:r>
              <w:rPr>
                <w:rFonts w:ascii="Calibri" w:hAnsi="Calibri"/>
                <w:color w:val="808080" w:themeColor="background1" w:themeShade="80"/>
              </w:rPr>
              <w:t xml:space="preserve"> </w:t>
            </w:r>
            <w:hyperlink r:id="rId15" w:tgtFrame="_blank" w:history="1">
              <w:r w:rsidRPr="00182BE0">
                <w:rPr>
                  <w:rStyle w:val="Hyperlink"/>
                  <w:rFonts w:ascii="Calibri" w:hAnsi="Calibri"/>
                </w:rPr>
                <w:t>Skills Centre</w:t>
              </w:r>
            </w:hyperlink>
          </w:p>
          <w:p w14:paraId="685ACA03" w14:textId="5AE1A13B" w:rsidR="00182BE0" w:rsidRPr="00A62C48" w:rsidRDefault="00B63D80" w:rsidP="00182BE0">
            <w:pPr>
              <w:pStyle w:val="ListParagraph"/>
              <w:numPr>
                <w:ilvl w:val="0"/>
                <w:numId w:val="2"/>
              </w:numPr>
              <w:rPr>
                <w:rStyle w:val="Hyperlink"/>
                <w:rFonts w:ascii="Calibri" w:eastAsia="Times New Roman" w:hAnsi="Calibri" w:cs="Times New Roman"/>
                <w:lang w:eastAsia="en-GB"/>
              </w:rPr>
            </w:pPr>
            <w:hyperlink r:id="rId16" w:history="1">
              <w:r w:rsidR="00182BE0" w:rsidRPr="00A62C48">
                <w:rPr>
                  <w:rStyle w:val="Hyperlink"/>
                  <w:rFonts w:ascii="Calibri" w:eastAsia="Times New Roman" w:hAnsi="Calibri" w:cs="Times New Roman"/>
                  <w:lang w:eastAsia="en-GB"/>
                </w:rPr>
                <w:t>Library Access for Distance Learners</w:t>
              </w:r>
            </w:hyperlink>
          </w:p>
          <w:p w14:paraId="7E04B931" w14:textId="77777777" w:rsidR="00182BE0" w:rsidRPr="00A62C48" w:rsidRDefault="00182BE0" w:rsidP="00182BE0">
            <w:pPr>
              <w:pStyle w:val="ListParagraph"/>
              <w:numPr>
                <w:ilvl w:val="0"/>
                <w:numId w:val="2"/>
              </w:numPr>
              <w:rPr>
                <w:rStyle w:val="Hyperlink"/>
                <w:rFonts w:ascii="Calibri" w:eastAsia="Times New Roman" w:hAnsi="Calibri" w:cs="Times New Roman"/>
                <w:b/>
                <w:bCs/>
                <w:lang w:eastAsia="en-GB"/>
              </w:rPr>
            </w:pPr>
            <w:r w:rsidRPr="009D663B">
              <w:rPr>
                <w:rFonts w:eastAsia="Times New Roman" w:cs="Times New Roman"/>
                <w:lang w:eastAsia="en-GB"/>
              </w:rPr>
              <w:t>Free</w:t>
            </w:r>
            <w:r w:rsidRPr="009D663B">
              <w:rPr>
                <w:sz w:val="27"/>
                <w:szCs w:val="27"/>
              </w:rPr>
              <w:t> </w:t>
            </w:r>
            <w:hyperlink r:id="rId17" w:tgtFrame="_blank" w:history="1">
              <w:r w:rsidRPr="00A62C48">
                <w:rPr>
                  <w:rStyle w:val="Hyperlink"/>
                  <w:rFonts w:ascii="Calibri" w:eastAsia="Times New Roman" w:hAnsi="Calibri" w:cs="Times New Roman"/>
                  <w:lang w:eastAsia="en-GB"/>
                </w:rPr>
                <w:t>LinkedIn Learning account</w:t>
              </w:r>
            </w:hyperlink>
          </w:p>
          <w:p w14:paraId="370FDA98" w14:textId="77777777" w:rsidR="00182BE0" w:rsidRDefault="00182BE0" w:rsidP="00182BE0">
            <w:pPr>
              <w:pStyle w:val="ListParagraph"/>
              <w:numPr>
                <w:ilvl w:val="0"/>
                <w:numId w:val="2"/>
              </w:numPr>
              <w:rPr>
                <w:rStyle w:val="Hyperlink"/>
                <w:rFonts w:ascii="Calibri" w:eastAsia="Times New Roman" w:hAnsi="Calibri" w:cs="Times New Roman"/>
                <w:lang w:eastAsia="en-GB"/>
              </w:rPr>
            </w:pPr>
            <w:r w:rsidRPr="009D663B">
              <w:t>Disability Team</w:t>
            </w:r>
            <w:r w:rsidRPr="009D663B">
              <w:rPr>
                <w:rStyle w:val="Hyperlink"/>
                <w:rFonts w:eastAsia="Times New Roman" w:cs="Times New Roman"/>
                <w:color w:val="auto"/>
                <w:lang w:eastAsia="en-GB"/>
              </w:rPr>
              <w:t xml:space="preserve"> </w:t>
            </w:r>
            <w:r w:rsidRPr="00A62C48">
              <w:rPr>
                <w:rStyle w:val="Hyperlink"/>
                <w:rFonts w:ascii="Calibri" w:eastAsia="Times New Roman" w:hAnsi="Calibri" w:cs="Times New Roman"/>
                <w:lang w:eastAsia="en-GB"/>
              </w:rPr>
              <w:t xml:space="preserve">Support </w:t>
            </w:r>
            <w:hyperlink r:id="rId18" w:history="1">
              <w:r w:rsidRPr="00A62C48">
                <w:rPr>
                  <w:rStyle w:val="Hyperlink"/>
                  <w:rFonts w:ascii="Calibri" w:eastAsia="Times New Roman" w:hAnsi="Calibri" w:cs="Times New Roman"/>
                  <w:lang w:eastAsia="en-GB"/>
                </w:rPr>
                <w:t>Additional Learning Needs</w:t>
              </w:r>
            </w:hyperlink>
          </w:p>
          <w:p w14:paraId="3DEA8468" w14:textId="38D4844F" w:rsidR="00182BE0" w:rsidRPr="00140CF8" w:rsidRDefault="009D663B" w:rsidP="00182BE0">
            <w:pPr>
              <w:pStyle w:val="ListParagraph"/>
              <w:numPr>
                <w:ilvl w:val="0"/>
                <w:numId w:val="2"/>
              </w:numPr>
              <w:rPr>
                <w:rFonts w:ascii="Calibri" w:eastAsia="Times New Roman" w:hAnsi="Calibri" w:cs="Times New Roman"/>
                <w:color w:val="0000FF"/>
                <w:u w:val="single"/>
                <w:lang w:eastAsia="en-GB"/>
              </w:rPr>
            </w:pPr>
            <w:r>
              <w:t xml:space="preserve">General </w:t>
            </w:r>
            <w:hyperlink r:id="rId19" w:history="1">
              <w:r w:rsidR="00182BE0" w:rsidRPr="00182BE0">
                <w:rPr>
                  <w:rStyle w:val="Hyperlink"/>
                  <w:rFonts w:ascii="Calibri" w:eastAsia="Times New Roman" w:hAnsi="Calibri" w:cs="Times New Roman"/>
                  <w:lang w:eastAsia="en-GB"/>
                </w:rPr>
                <w:t>Help and support options</w:t>
              </w:r>
            </w:hyperlink>
            <w:r w:rsidR="00182BE0" w:rsidRPr="00182BE0">
              <w:rPr>
                <w:rStyle w:val="Hyperlink"/>
                <w:rFonts w:ascii="Calibri" w:eastAsia="Times New Roman" w:hAnsi="Calibri" w:cs="Times New Roman"/>
                <w:lang w:eastAsia="en-GB"/>
              </w:rPr>
              <w:t xml:space="preserve"> </w:t>
            </w:r>
            <w:r w:rsidR="00182BE0" w:rsidRPr="009D663B">
              <w:t>(AIIR)</w:t>
            </w:r>
          </w:p>
          <w:p w14:paraId="4BE4A2E4" w14:textId="56043647" w:rsidR="00140CF8" w:rsidRPr="009D663B" w:rsidRDefault="00140CF8" w:rsidP="00182BE0">
            <w:pPr>
              <w:pStyle w:val="ListParagraph"/>
              <w:numPr>
                <w:ilvl w:val="0"/>
                <w:numId w:val="2"/>
              </w:numPr>
              <w:rPr>
                <w:rFonts w:ascii="Calibri" w:eastAsia="Times New Roman" w:hAnsi="Calibri" w:cs="Times New Roman"/>
                <w:color w:val="0000FF"/>
                <w:u w:val="single"/>
                <w:lang w:eastAsia="en-GB"/>
              </w:rPr>
            </w:pPr>
            <w:r w:rsidRPr="00140CF8">
              <w:rPr>
                <w:rFonts w:ascii="Calibri" w:eastAsia="Times New Roman" w:hAnsi="Calibri" w:cs="Times New Roman"/>
                <w:lang w:eastAsia="en-GB"/>
              </w:rPr>
              <w:t xml:space="preserve">Guidance on </w:t>
            </w:r>
            <w:hyperlink r:id="rId20" w:history="1">
              <w:r w:rsidRPr="00140CF8">
                <w:rPr>
                  <w:rStyle w:val="Hyperlink"/>
                  <w:rFonts w:ascii="Calibri" w:eastAsia="Times New Roman" w:hAnsi="Calibri" w:cs="Times New Roman"/>
                  <w:lang w:eastAsia="en-GB"/>
                </w:rPr>
                <w:t>20% Off The Job Training</w:t>
              </w:r>
            </w:hyperlink>
          </w:p>
          <w:p w14:paraId="5394F44B" w14:textId="310D4815" w:rsidR="00182BE0" w:rsidRPr="0013539C" w:rsidRDefault="009D663B" w:rsidP="00140CF8">
            <w:pPr>
              <w:pStyle w:val="ListParagraph"/>
              <w:numPr>
                <w:ilvl w:val="0"/>
                <w:numId w:val="2"/>
              </w:numPr>
              <w:rPr>
                <w:rFonts w:ascii="Calibri" w:eastAsia="Times New Roman" w:hAnsi="Calibri" w:cs="Times New Roman"/>
                <w:color w:val="0000FF"/>
                <w:u w:val="single"/>
                <w:lang w:eastAsia="en-GB"/>
              </w:rPr>
            </w:pPr>
            <w:r>
              <w:t xml:space="preserve">The </w:t>
            </w:r>
            <w:hyperlink r:id="rId21" w:history="1">
              <w:r w:rsidRPr="009D663B">
                <w:rPr>
                  <w:rStyle w:val="Hyperlink"/>
                </w:rPr>
                <w:t>Training Plan Toolkit</w:t>
              </w:r>
            </w:hyperlink>
            <w:r w:rsidRPr="009D663B">
              <w:t xml:space="preserve"> </w:t>
            </w:r>
            <w:r w:rsidRPr="009D663B">
              <w:t>and employer</w:t>
            </w:r>
            <w:r>
              <w:t xml:space="preserve"> obligations set out </w:t>
            </w:r>
            <w:r>
              <w:t xml:space="preserve">in your </w:t>
            </w:r>
            <w:r w:rsidRPr="0013539C">
              <w:rPr>
                <w:i/>
                <w:iCs/>
              </w:rPr>
              <w:t>Commitment Statement</w:t>
            </w:r>
          </w:p>
        </w:tc>
      </w:tr>
    </w:tbl>
    <w:p w14:paraId="2F7ABEBD" w14:textId="77777777" w:rsidR="00FA2855" w:rsidRPr="00FA6823" w:rsidRDefault="00FA2855">
      <w:pPr>
        <w:rPr>
          <w:rFonts w:ascii="Arial" w:eastAsia="Times New Roman" w:hAnsi="Arial" w:cs="Arial"/>
          <w:b/>
          <w:bCs/>
          <w:color w:val="000000"/>
          <w:sz w:val="18"/>
          <w:lang w:eastAsia="en-GB"/>
        </w:rPr>
      </w:pPr>
    </w:p>
    <w:tbl>
      <w:tblPr>
        <w:tblStyle w:val="TableGrid"/>
        <w:tblpPr w:leftFromText="180" w:rightFromText="180" w:vertAnchor="text" w:horzAnchor="margin" w:tblpY="276"/>
        <w:tblW w:w="10598" w:type="dxa"/>
        <w:tblLook w:val="04A0" w:firstRow="1" w:lastRow="0" w:firstColumn="1" w:lastColumn="0" w:noHBand="0" w:noVBand="1"/>
      </w:tblPr>
      <w:tblGrid>
        <w:gridCol w:w="1242"/>
        <w:gridCol w:w="9356"/>
      </w:tblGrid>
      <w:tr w:rsidR="00C7438E" w:rsidRPr="000031F0" w14:paraId="3B707F20" w14:textId="77777777" w:rsidTr="00C7438E">
        <w:trPr>
          <w:trHeight w:val="332"/>
        </w:trPr>
        <w:tc>
          <w:tcPr>
            <w:tcW w:w="10598" w:type="dxa"/>
            <w:gridSpan w:val="2"/>
            <w:shd w:val="clear" w:color="auto" w:fill="D9D9D9" w:themeFill="background1" w:themeFillShade="D9"/>
          </w:tcPr>
          <w:p w14:paraId="12F4265D" w14:textId="4F1CD5C4" w:rsidR="00C7438E" w:rsidRPr="000031F0" w:rsidRDefault="00C7438E" w:rsidP="00C7438E">
            <w:pPr>
              <w:rPr>
                <w:rFonts w:ascii="Calibri" w:hAnsi="Calibri"/>
                <w:color w:val="808080" w:themeColor="background1" w:themeShade="80"/>
              </w:rPr>
            </w:pPr>
            <w:r w:rsidRPr="000031F0">
              <w:rPr>
                <w:rFonts w:ascii="Calibri" w:hAnsi="Calibri"/>
                <w:b/>
              </w:rPr>
              <w:t xml:space="preserve">Further Discussion - Ongoing Reflection in response to </w:t>
            </w:r>
            <w:hyperlink r:id="rId22" w:history="1">
              <w:r w:rsidR="00AF2415">
                <w:rPr>
                  <w:rStyle w:val="Hyperlink"/>
                  <w:rFonts w:ascii="Calibri" w:hAnsi="Calibri"/>
                  <w:b/>
                </w:rPr>
                <w:t>AI</w:t>
              </w:r>
              <w:r w:rsidR="00AF2415">
                <w:rPr>
                  <w:rStyle w:val="Hyperlink"/>
                  <w:rFonts w:ascii="Calibri" w:hAnsi="Calibri"/>
                  <w:b/>
                </w:rPr>
                <w:t>I</w:t>
              </w:r>
              <w:r w:rsidR="00AF2415">
                <w:rPr>
                  <w:rStyle w:val="Hyperlink"/>
                  <w:rFonts w:ascii="Calibri" w:hAnsi="Calibri"/>
                  <w:b/>
                </w:rPr>
                <w:t>R</w:t>
              </w:r>
            </w:hyperlink>
          </w:p>
        </w:tc>
      </w:tr>
      <w:tr w:rsidR="009A2617" w:rsidRPr="000031F0" w14:paraId="48125DB9" w14:textId="77777777" w:rsidTr="00182BE0">
        <w:trPr>
          <w:trHeight w:val="1633"/>
        </w:trPr>
        <w:tc>
          <w:tcPr>
            <w:tcW w:w="1242" w:type="dxa"/>
          </w:tcPr>
          <w:p w14:paraId="00597AC2" w14:textId="77777777" w:rsidR="009A2617" w:rsidRDefault="009A2617" w:rsidP="00C7438E">
            <w:pPr>
              <w:rPr>
                <w:rFonts w:ascii="Calibri" w:hAnsi="Calibri"/>
                <w:color w:val="808080" w:themeColor="background1" w:themeShade="80"/>
              </w:rPr>
            </w:pPr>
          </w:p>
          <w:p w14:paraId="1E3DE87F" w14:textId="3526BB1A" w:rsidR="009A2617" w:rsidRDefault="009A2617" w:rsidP="00C7438E">
            <w:pPr>
              <w:rPr>
                <w:rFonts w:ascii="Calibri" w:hAnsi="Calibri"/>
                <w:color w:val="808080" w:themeColor="background1" w:themeShade="80"/>
              </w:rPr>
            </w:pPr>
            <w:r>
              <w:rPr>
                <w:rFonts w:ascii="Calibri" w:hAnsi="Calibri"/>
                <w:color w:val="808080" w:themeColor="background1" w:themeShade="80"/>
              </w:rPr>
              <w:t>Notes are optional</w:t>
            </w:r>
          </w:p>
          <w:p w14:paraId="65C9B116" w14:textId="480D1D2A" w:rsidR="009A2617" w:rsidRPr="000031F0" w:rsidRDefault="009A2617" w:rsidP="00C7438E">
            <w:pPr>
              <w:rPr>
                <w:rFonts w:ascii="Calibri" w:hAnsi="Calibri"/>
                <w:color w:val="808080" w:themeColor="background1" w:themeShade="80"/>
              </w:rPr>
            </w:pPr>
            <w:r>
              <w:rPr>
                <w:bCs/>
                <w:iCs/>
                <w:color w:val="A31D6A"/>
                <w:szCs w:val="16"/>
              </w:rPr>
              <w:t>Action</w:t>
            </w:r>
            <w:r w:rsidRPr="00B4691A">
              <w:rPr>
                <w:bCs/>
                <w:iCs/>
                <w:color w:val="A31D6A"/>
                <w:szCs w:val="16"/>
              </w:rPr>
              <w:t xml:space="preserve"> any concerns</w:t>
            </w:r>
          </w:p>
        </w:tc>
        <w:tc>
          <w:tcPr>
            <w:tcW w:w="9356" w:type="dxa"/>
          </w:tcPr>
          <w:p w14:paraId="4BDAEC21" w14:textId="4DC24662" w:rsidR="009A2617" w:rsidRPr="00140CF8" w:rsidRDefault="009A2617" w:rsidP="00FD3952">
            <w:pPr>
              <w:pStyle w:val="NormalWeb"/>
              <w:spacing w:before="0" w:beforeAutospacing="0" w:after="0" w:afterAutospacing="0"/>
              <w:ind w:left="64"/>
              <w:rPr>
                <w:rFonts w:ascii="Calibri" w:hAnsi="Calibri"/>
                <w:sz w:val="22"/>
                <w:szCs w:val="22"/>
              </w:rPr>
            </w:pPr>
            <w:commentRangeStart w:id="0"/>
            <w:r w:rsidRPr="00140CF8">
              <w:rPr>
                <w:rFonts w:ascii="Calibri" w:hAnsi="Calibri"/>
                <w:sz w:val="22"/>
                <w:szCs w:val="22"/>
              </w:rPr>
              <w:t xml:space="preserve">Q.  How well will your Literacy skills support success in your SHU assignments </w:t>
            </w:r>
            <w:r w:rsidRPr="00140CF8">
              <w:rPr>
                <w:rFonts w:ascii="Calibri" w:hAnsi="Calibri"/>
                <w:i/>
                <w:iCs/>
                <w:sz w:val="22"/>
                <w:szCs w:val="22"/>
              </w:rPr>
              <w:t>and</w:t>
            </w:r>
            <w:r w:rsidRPr="00140CF8">
              <w:rPr>
                <w:rFonts w:ascii="Calibri" w:hAnsi="Calibri"/>
                <w:sz w:val="22"/>
                <w:szCs w:val="22"/>
              </w:rPr>
              <w:t xml:space="preserve"> job role?</w:t>
            </w:r>
          </w:p>
          <w:p w14:paraId="32911EAF" w14:textId="56A0C399" w:rsidR="009A2617" w:rsidRPr="00140CF8" w:rsidRDefault="009A2617" w:rsidP="009A2617">
            <w:pPr>
              <w:pStyle w:val="NormalWeb"/>
              <w:spacing w:before="0" w:beforeAutospacing="0" w:after="0" w:afterAutospacing="0"/>
              <w:ind w:left="64"/>
              <w:rPr>
                <w:rFonts w:ascii="Calibri" w:hAnsi="Calibri"/>
                <w:sz w:val="22"/>
                <w:szCs w:val="22"/>
              </w:rPr>
            </w:pPr>
            <w:r w:rsidRPr="00140CF8">
              <w:rPr>
                <w:rFonts w:ascii="Calibri" w:hAnsi="Calibri"/>
                <w:sz w:val="22"/>
                <w:szCs w:val="22"/>
              </w:rPr>
              <w:t xml:space="preserve">Q.  How well will your Numeracy skills support success in your SHU assignments </w:t>
            </w:r>
            <w:r w:rsidRPr="00140CF8">
              <w:rPr>
                <w:rFonts w:ascii="Calibri" w:hAnsi="Calibri"/>
                <w:i/>
                <w:iCs/>
                <w:sz w:val="22"/>
                <w:szCs w:val="22"/>
              </w:rPr>
              <w:t>and</w:t>
            </w:r>
            <w:r w:rsidRPr="00140CF8">
              <w:rPr>
                <w:rFonts w:ascii="Calibri" w:hAnsi="Calibri"/>
                <w:sz w:val="22"/>
                <w:szCs w:val="22"/>
              </w:rPr>
              <w:t xml:space="preserve"> job role?</w:t>
            </w:r>
          </w:p>
          <w:p w14:paraId="6498F9C6" w14:textId="5A5DA443" w:rsidR="009A2617" w:rsidRDefault="009A2617" w:rsidP="009A2617">
            <w:pPr>
              <w:pStyle w:val="NormalWeb"/>
              <w:spacing w:before="0" w:beforeAutospacing="0" w:after="0" w:afterAutospacing="0"/>
              <w:ind w:left="64"/>
              <w:rPr>
                <w:rFonts w:ascii="Calibri" w:hAnsi="Calibri"/>
                <w:sz w:val="22"/>
                <w:szCs w:val="22"/>
              </w:rPr>
            </w:pPr>
            <w:r w:rsidRPr="00140CF8">
              <w:rPr>
                <w:rFonts w:ascii="Calibri" w:hAnsi="Calibri"/>
                <w:sz w:val="22"/>
                <w:szCs w:val="22"/>
              </w:rPr>
              <w:t xml:space="preserve">Q.  How well will your digital skills support success in your SHU assignments </w:t>
            </w:r>
            <w:r w:rsidRPr="00140CF8">
              <w:rPr>
                <w:rFonts w:ascii="Calibri" w:hAnsi="Calibri"/>
                <w:i/>
                <w:iCs/>
                <w:sz w:val="22"/>
                <w:szCs w:val="22"/>
              </w:rPr>
              <w:t>and</w:t>
            </w:r>
            <w:r w:rsidRPr="00140CF8">
              <w:rPr>
                <w:rFonts w:ascii="Calibri" w:hAnsi="Calibri"/>
                <w:sz w:val="22"/>
                <w:szCs w:val="22"/>
              </w:rPr>
              <w:t xml:space="preserve"> job role?</w:t>
            </w:r>
            <w:commentRangeEnd w:id="0"/>
            <w:r w:rsidRPr="00140CF8">
              <w:rPr>
                <w:rStyle w:val="CommentReference"/>
                <w:rFonts w:ascii="Arial" w:eastAsiaTheme="minorHAnsi" w:hAnsi="Arial" w:cs="Arial"/>
                <w:lang w:eastAsia="en-US"/>
              </w:rPr>
              <w:commentReference w:id="0"/>
            </w:r>
          </w:p>
          <w:p w14:paraId="03B09DEF" w14:textId="437550B9" w:rsidR="00140CF8" w:rsidRPr="00140CF8" w:rsidRDefault="00140CF8" w:rsidP="00140CF8">
            <w:pPr>
              <w:pStyle w:val="NormalWeb"/>
              <w:spacing w:before="0" w:beforeAutospacing="0" w:after="0" w:afterAutospacing="0"/>
              <w:ind w:left="64"/>
              <w:rPr>
                <w:rFonts w:ascii="Calibri" w:hAnsi="Calibri"/>
                <w:sz w:val="22"/>
                <w:szCs w:val="22"/>
              </w:rPr>
            </w:pPr>
            <w:r>
              <w:rPr>
                <w:rFonts w:ascii="Calibri" w:hAnsi="Calibri"/>
                <w:sz w:val="22"/>
                <w:szCs w:val="22"/>
              </w:rPr>
              <w:t>Q.  How well will your critical thinking and reflective capability support development</w:t>
            </w:r>
            <w:r w:rsidR="0013539C">
              <w:rPr>
                <w:rFonts w:ascii="Calibri" w:hAnsi="Calibri"/>
                <w:sz w:val="22"/>
                <w:szCs w:val="22"/>
              </w:rPr>
              <w:t xml:space="preserve"> of KSBs</w:t>
            </w:r>
            <w:r>
              <w:rPr>
                <w:rFonts w:ascii="Calibri" w:hAnsi="Calibri"/>
                <w:sz w:val="22"/>
                <w:szCs w:val="22"/>
              </w:rPr>
              <w:t>?</w:t>
            </w:r>
          </w:p>
          <w:p w14:paraId="7FCC00E3" w14:textId="77777777" w:rsidR="009D663B" w:rsidRDefault="009D663B" w:rsidP="00140CF8">
            <w:pPr>
              <w:pStyle w:val="NormalWeb"/>
              <w:spacing w:before="0" w:beforeAutospacing="0" w:after="0" w:afterAutospacing="0"/>
              <w:rPr>
                <w:rFonts w:ascii="Calibri" w:hAnsi="Calibri"/>
                <w:color w:val="808080" w:themeColor="background1" w:themeShade="80"/>
                <w:sz w:val="22"/>
                <w:szCs w:val="22"/>
              </w:rPr>
            </w:pPr>
          </w:p>
          <w:p w14:paraId="40CE5EA9" w14:textId="504AF070" w:rsidR="009D663B" w:rsidRPr="009A2617" w:rsidRDefault="009D663B" w:rsidP="009A2617">
            <w:pPr>
              <w:pStyle w:val="NormalWeb"/>
              <w:spacing w:before="0" w:beforeAutospacing="0" w:after="0" w:afterAutospacing="0"/>
              <w:ind w:left="64"/>
              <w:rPr>
                <w:rFonts w:ascii="Calibri" w:hAnsi="Calibri"/>
                <w:color w:val="808080" w:themeColor="background1" w:themeShade="80"/>
                <w:sz w:val="22"/>
                <w:szCs w:val="22"/>
              </w:rPr>
            </w:pPr>
            <w:r w:rsidRPr="00140CF8">
              <w:rPr>
                <w:rFonts w:asciiTheme="minorHAnsi" w:hAnsiTheme="minorHAnsi"/>
                <w:sz w:val="22"/>
                <w:szCs w:val="22"/>
              </w:rPr>
              <w:t>Can we discuss the accuracy of your Skills Scan and confirm any adjustments to your initial KSB milestone judgements?</w:t>
            </w:r>
          </w:p>
        </w:tc>
      </w:tr>
    </w:tbl>
    <w:p w14:paraId="76C2FEBA" w14:textId="77777777" w:rsidR="00C7438E" w:rsidRPr="00FA6823" w:rsidRDefault="00C7438E" w:rsidP="00C7438E">
      <w:pPr>
        <w:rPr>
          <w:b/>
          <w:bCs/>
          <w:sz w:val="18"/>
          <w:szCs w:val="20"/>
          <w:highlight w:val="magenta"/>
        </w:rPr>
      </w:pPr>
    </w:p>
    <w:tbl>
      <w:tblPr>
        <w:tblStyle w:val="TableGrid"/>
        <w:tblpPr w:leftFromText="180" w:rightFromText="180" w:vertAnchor="text" w:horzAnchor="margin" w:tblpY="262"/>
        <w:tblW w:w="10598" w:type="dxa"/>
        <w:tblLook w:val="04A0" w:firstRow="1" w:lastRow="0" w:firstColumn="1" w:lastColumn="0" w:noHBand="0" w:noVBand="1"/>
      </w:tblPr>
      <w:tblGrid>
        <w:gridCol w:w="1242"/>
        <w:gridCol w:w="9356"/>
      </w:tblGrid>
      <w:tr w:rsidR="00C7438E" w:rsidRPr="00896168" w14:paraId="3E7848CD" w14:textId="77777777" w:rsidTr="00C7438E">
        <w:trPr>
          <w:trHeight w:val="332"/>
        </w:trPr>
        <w:tc>
          <w:tcPr>
            <w:tcW w:w="10598" w:type="dxa"/>
            <w:gridSpan w:val="2"/>
            <w:shd w:val="clear" w:color="auto" w:fill="D9D9D9" w:themeFill="background1" w:themeFillShade="D9"/>
          </w:tcPr>
          <w:p w14:paraId="31B316A3" w14:textId="6FBB18FE" w:rsidR="00C7438E" w:rsidRPr="00C7438E" w:rsidRDefault="00140CF8" w:rsidP="00C7438E">
            <w:pPr>
              <w:rPr>
                <w:rFonts w:ascii="Calibri" w:hAnsi="Calibri"/>
                <w:i/>
                <w:color w:val="808080" w:themeColor="background1" w:themeShade="80"/>
              </w:rPr>
            </w:pPr>
            <w:r w:rsidRPr="0093083B">
              <w:rPr>
                <w:rFonts w:ascii="Calibri" w:hAnsi="Calibri"/>
                <w:b/>
                <w:iCs/>
              </w:rPr>
              <w:t xml:space="preserve">Going Forward – </w:t>
            </w:r>
            <w:r>
              <w:rPr>
                <w:rFonts w:ascii="Calibri" w:hAnsi="Calibri"/>
                <w:b/>
                <w:iCs/>
              </w:rPr>
              <w:t xml:space="preserve">STARE </w:t>
            </w:r>
            <w:r w:rsidRPr="0093083B">
              <w:rPr>
                <w:rFonts w:ascii="Calibri" w:hAnsi="Calibri"/>
                <w:b/>
                <w:iCs/>
              </w:rPr>
              <w:t>Evidence and SMART targets</w:t>
            </w:r>
          </w:p>
        </w:tc>
      </w:tr>
      <w:tr w:rsidR="00182BE0" w:rsidRPr="00396DA3" w14:paraId="439DEC25" w14:textId="77777777" w:rsidTr="00182BE0">
        <w:trPr>
          <w:trHeight w:val="778"/>
        </w:trPr>
        <w:tc>
          <w:tcPr>
            <w:tcW w:w="1242" w:type="dxa"/>
            <w:vMerge w:val="restart"/>
          </w:tcPr>
          <w:p w14:paraId="25130295" w14:textId="5101D43F" w:rsidR="00182BE0" w:rsidRDefault="00182BE0" w:rsidP="00C7438E">
            <w:pPr>
              <w:rPr>
                <w:bCs/>
                <w:iCs/>
                <w:color w:val="A31D6A"/>
                <w:szCs w:val="16"/>
              </w:rPr>
            </w:pPr>
          </w:p>
          <w:p w14:paraId="4E385492" w14:textId="62113D27" w:rsidR="0013539C" w:rsidRDefault="0013539C" w:rsidP="00C7438E">
            <w:pPr>
              <w:rPr>
                <w:bCs/>
                <w:iCs/>
                <w:color w:val="A31D6A"/>
                <w:szCs w:val="16"/>
              </w:rPr>
            </w:pPr>
          </w:p>
          <w:p w14:paraId="4A63F262" w14:textId="16784902" w:rsidR="0013539C" w:rsidRDefault="0013539C" w:rsidP="00C7438E">
            <w:pPr>
              <w:rPr>
                <w:bCs/>
                <w:iCs/>
                <w:color w:val="A31D6A"/>
                <w:szCs w:val="16"/>
              </w:rPr>
            </w:pPr>
          </w:p>
          <w:p w14:paraId="1F959564" w14:textId="77777777" w:rsidR="0013539C" w:rsidRDefault="0013539C" w:rsidP="00C7438E">
            <w:pPr>
              <w:rPr>
                <w:bCs/>
                <w:iCs/>
                <w:color w:val="A31D6A"/>
                <w:szCs w:val="16"/>
              </w:rPr>
            </w:pPr>
          </w:p>
          <w:p w14:paraId="278DB54B" w14:textId="633C8DA6" w:rsidR="00182BE0" w:rsidRPr="00C7438E" w:rsidRDefault="00182BE0" w:rsidP="00C7438E">
            <w:pPr>
              <w:rPr>
                <w:rFonts w:ascii="Calibri" w:hAnsi="Calibri"/>
                <w:i/>
                <w:color w:val="808080" w:themeColor="background1" w:themeShade="80"/>
              </w:rPr>
            </w:pPr>
            <w:r w:rsidRPr="009A2617">
              <w:rPr>
                <w:bCs/>
                <w:iCs/>
                <w:color w:val="A31D6A"/>
                <w:szCs w:val="16"/>
              </w:rPr>
              <w:t>Apprentice to complete this section</w:t>
            </w:r>
          </w:p>
        </w:tc>
        <w:tc>
          <w:tcPr>
            <w:tcW w:w="9356" w:type="dxa"/>
          </w:tcPr>
          <w:p w14:paraId="4519C209" w14:textId="07354B70" w:rsidR="0013539C" w:rsidRDefault="00182BE0" w:rsidP="00182BE0">
            <w:pPr>
              <w:rPr>
                <w:rFonts w:ascii="Calibri" w:eastAsia="Times New Roman" w:hAnsi="Calibri" w:cs="Times New Roman"/>
                <w:lang w:eastAsia="en-GB"/>
              </w:rPr>
            </w:pPr>
            <w:commentRangeStart w:id="1"/>
            <w:commentRangeEnd w:id="1"/>
            <w:r>
              <w:rPr>
                <w:rStyle w:val="CommentReference"/>
                <w:rFonts w:ascii="Arial" w:hAnsi="Arial" w:cs="Arial"/>
              </w:rPr>
              <w:commentReference w:id="1"/>
            </w:r>
            <w:r w:rsidR="0013539C">
              <w:rPr>
                <w:rFonts w:ascii="Calibri" w:eastAsia="Times New Roman" w:hAnsi="Calibri" w:cs="Times New Roman"/>
                <w:lang w:eastAsia="en-GB"/>
              </w:rPr>
              <w:t>Can we summarise your priorities from the above and identify the SMART actions to strengthen your Training Plan against accurate KSB starting positions?</w:t>
            </w:r>
          </w:p>
          <w:p w14:paraId="137326A3" w14:textId="72F878E8" w:rsidR="00182BE0" w:rsidRPr="00182BE0" w:rsidRDefault="00182BE0" w:rsidP="00182BE0">
            <w:pPr>
              <w:tabs>
                <w:tab w:val="left" w:pos="3591"/>
              </w:tabs>
              <w:rPr>
                <w:rFonts w:ascii="Calibri" w:eastAsia="Times New Roman" w:hAnsi="Calibri" w:cs="Times New Roman"/>
                <w:color w:val="808080" w:themeColor="background1" w:themeShade="80"/>
                <w:lang w:eastAsia="en-GB"/>
              </w:rPr>
            </w:pPr>
          </w:p>
        </w:tc>
      </w:tr>
      <w:tr w:rsidR="00182BE0" w:rsidRPr="00396DA3" w14:paraId="25C75F48" w14:textId="77777777" w:rsidTr="00182BE0">
        <w:trPr>
          <w:trHeight w:val="1057"/>
        </w:trPr>
        <w:tc>
          <w:tcPr>
            <w:tcW w:w="1242" w:type="dxa"/>
            <w:vMerge/>
          </w:tcPr>
          <w:p w14:paraId="53E9E111" w14:textId="77777777" w:rsidR="00182BE0" w:rsidRPr="009A2617" w:rsidRDefault="00182BE0" w:rsidP="00C7438E">
            <w:pPr>
              <w:rPr>
                <w:bCs/>
                <w:iCs/>
                <w:color w:val="A31D6A"/>
                <w:szCs w:val="16"/>
              </w:rPr>
            </w:pPr>
          </w:p>
        </w:tc>
        <w:tc>
          <w:tcPr>
            <w:tcW w:w="9356" w:type="dxa"/>
          </w:tcPr>
          <w:p w14:paraId="1EE1BB04" w14:textId="77777777" w:rsidR="00182BE0" w:rsidRDefault="00182BE0" w:rsidP="00182BE0">
            <w:pPr>
              <w:pStyle w:val="ListParagraph"/>
              <w:tabs>
                <w:tab w:val="left" w:pos="3591"/>
              </w:tabs>
              <w:ind w:left="317" w:right="-108"/>
              <w:rPr>
                <w:bCs/>
                <w:iCs/>
                <w:color w:val="A31D6A"/>
                <w:szCs w:val="16"/>
              </w:rPr>
            </w:pPr>
            <w:r>
              <w:rPr>
                <w:bCs/>
                <w:iCs/>
                <w:color w:val="A31D6A"/>
                <w:szCs w:val="16"/>
              </w:rPr>
              <w:t>INSERT…</w:t>
            </w:r>
          </w:p>
          <w:p w14:paraId="56A5C7F5" w14:textId="1108A171" w:rsidR="00182BE0" w:rsidRDefault="00182BE0" w:rsidP="00182BE0">
            <w:pPr>
              <w:pStyle w:val="ListParagraph"/>
              <w:tabs>
                <w:tab w:val="left" w:pos="3591"/>
              </w:tabs>
              <w:ind w:left="317" w:right="-108"/>
              <w:rPr>
                <w:bCs/>
                <w:iCs/>
                <w:color w:val="A31D6A"/>
                <w:szCs w:val="16"/>
              </w:rPr>
            </w:pPr>
          </w:p>
          <w:p w14:paraId="13261D95" w14:textId="77777777" w:rsidR="0013539C" w:rsidRDefault="0013539C" w:rsidP="00182BE0">
            <w:pPr>
              <w:pStyle w:val="ListParagraph"/>
              <w:tabs>
                <w:tab w:val="left" w:pos="3591"/>
              </w:tabs>
              <w:ind w:left="317" w:right="-108"/>
              <w:rPr>
                <w:bCs/>
                <w:iCs/>
                <w:color w:val="A31D6A"/>
                <w:szCs w:val="16"/>
              </w:rPr>
            </w:pPr>
          </w:p>
          <w:p w14:paraId="3B4F8E67" w14:textId="77777777" w:rsidR="00182BE0" w:rsidRDefault="00182BE0" w:rsidP="00182BE0">
            <w:pPr>
              <w:pStyle w:val="ListParagraph"/>
              <w:tabs>
                <w:tab w:val="left" w:pos="3591"/>
              </w:tabs>
              <w:ind w:left="317" w:right="-108"/>
              <w:rPr>
                <w:bCs/>
                <w:iCs/>
                <w:color w:val="A31D6A"/>
                <w:szCs w:val="16"/>
              </w:rPr>
            </w:pPr>
          </w:p>
          <w:p w14:paraId="6C9F189B" w14:textId="54D0504F" w:rsidR="00182BE0" w:rsidRDefault="00182BE0" w:rsidP="00182BE0">
            <w:pPr>
              <w:pStyle w:val="ListParagraph"/>
              <w:tabs>
                <w:tab w:val="left" w:pos="3591"/>
              </w:tabs>
              <w:ind w:left="317" w:right="-108"/>
              <w:jc w:val="center"/>
              <w:rPr>
                <w:bCs/>
                <w:iCs/>
                <w:color w:val="A31D6A"/>
                <w:szCs w:val="16"/>
              </w:rPr>
            </w:pPr>
            <w:r w:rsidRPr="005C67FC">
              <w:rPr>
                <w:bCs/>
                <w:iCs/>
                <w:color w:val="A31D6A"/>
                <w:szCs w:val="16"/>
              </w:rPr>
              <w:t>Outputs should be into</w:t>
            </w:r>
            <w:r>
              <w:rPr>
                <w:bCs/>
                <w:iCs/>
                <w:color w:val="A31D6A"/>
                <w:szCs w:val="16"/>
              </w:rPr>
              <w:t xml:space="preserve"> actioned as Evidence for E-portfolio</w:t>
            </w:r>
          </w:p>
          <w:p w14:paraId="2E7FEF24" w14:textId="77777777" w:rsidR="00182BE0" w:rsidRDefault="00182BE0" w:rsidP="00182BE0">
            <w:pPr>
              <w:pStyle w:val="ListParagraph"/>
              <w:tabs>
                <w:tab w:val="left" w:pos="3591"/>
              </w:tabs>
              <w:ind w:left="317" w:right="-108"/>
              <w:jc w:val="center"/>
              <w:rPr>
                <w:bCs/>
                <w:iCs/>
                <w:color w:val="A31D6A"/>
                <w:szCs w:val="16"/>
              </w:rPr>
            </w:pPr>
            <w:r>
              <w:rPr>
                <w:bCs/>
                <w:iCs/>
                <w:color w:val="A31D6A"/>
                <w:szCs w:val="16"/>
              </w:rPr>
              <w:t xml:space="preserve">and </w:t>
            </w:r>
            <w:r w:rsidRPr="005C67FC">
              <w:rPr>
                <w:bCs/>
                <w:iCs/>
                <w:color w:val="A31D6A"/>
                <w:szCs w:val="16"/>
              </w:rPr>
              <w:t xml:space="preserve">transposed </w:t>
            </w:r>
            <w:r>
              <w:rPr>
                <w:bCs/>
                <w:iCs/>
                <w:color w:val="A31D6A"/>
                <w:szCs w:val="16"/>
              </w:rPr>
              <w:t xml:space="preserve">as </w:t>
            </w:r>
            <w:r w:rsidRPr="005C67FC">
              <w:rPr>
                <w:bCs/>
                <w:iCs/>
                <w:color w:val="A31D6A"/>
                <w:szCs w:val="16"/>
              </w:rPr>
              <w:t xml:space="preserve">SMART target(s) in </w:t>
            </w:r>
            <w:r>
              <w:rPr>
                <w:bCs/>
                <w:iCs/>
                <w:color w:val="A31D6A"/>
                <w:szCs w:val="16"/>
              </w:rPr>
              <w:t xml:space="preserve">the </w:t>
            </w:r>
            <w:r w:rsidRPr="005C67FC">
              <w:rPr>
                <w:bCs/>
                <w:iCs/>
                <w:color w:val="A31D6A"/>
                <w:szCs w:val="16"/>
              </w:rPr>
              <w:t>main APR review form</w:t>
            </w:r>
          </w:p>
          <w:p w14:paraId="4E6C24AA" w14:textId="77777777" w:rsidR="00182BE0" w:rsidRDefault="00182BE0" w:rsidP="00182BE0">
            <w:pPr>
              <w:rPr>
                <w:rStyle w:val="CommentReference"/>
                <w:rFonts w:ascii="Arial" w:hAnsi="Arial" w:cs="Arial"/>
              </w:rPr>
            </w:pPr>
          </w:p>
        </w:tc>
      </w:tr>
    </w:tbl>
    <w:p w14:paraId="33AC098E" w14:textId="77777777" w:rsidR="00CD439E" w:rsidRPr="00D8277A" w:rsidRDefault="00CD439E" w:rsidP="00CD439E">
      <w:pPr>
        <w:ind w:left="709"/>
        <w:rPr>
          <w:b/>
          <w:bCs/>
        </w:rPr>
      </w:pPr>
      <w:r>
        <w:rPr>
          <w:b/>
          <w:bCs/>
        </w:rPr>
        <w:lastRenderedPageBreak/>
        <w:t xml:space="preserve">WBLC </w:t>
      </w:r>
      <w:r w:rsidRPr="00D8277A">
        <w:rPr>
          <w:b/>
          <w:bCs/>
        </w:rPr>
        <w:t>Guidance Notes for use of APR Thematic Annex Documents:</w:t>
      </w:r>
    </w:p>
    <w:p w14:paraId="69F756B0" w14:textId="77777777" w:rsidR="00CD439E" w:rsidRDefault="00CD439E" w:rsidP="00CD439E">
      <w:pPr>
        <w:pStyle w:val="ListParagraph"/>
        <w:numPr>
          <w:ilvl w:val="0"/>
          <w:numId w:val="3"/>
        </w:numPr>
        <w:tabs>
          <w:tab w:val="left" w:pos="4700"/>
        </w:tabs>
        <w:spacing w:before="120"/>
        <w:ind w:left="1560" w:hanging="426"/>
      </w:pPr>
      <w:r>
        <w:t xml:space="preserve">There are </w:t>
      </w:r>
      <w:r w:rsidRPr="00D8277A">
        <w:t xml:space="preserve">6 thematic documents, </w:t>
      </w:r>
      <w:hyperlink r:id="rId27" w:history="1">
        <w:r w:rsidRPr="00D8277A">
          <w:rPr>
            <w:rStyle w:val="Hyperlink"/>
          </w:rPr>
          <w:t xml:space="preserve">WBLC </w:t>
        </w:r>
      </w:hyperlink>
      <w:hyperlink r:id="rId28" w:history="1">
        <w:proofErr w:type="spellStart"/>
        <w:r w:rsidRPr="00D8277A">
          <w:rPr>
            <w:rStyle w:val="Hyperlink"/>
          </w:rPr>
          <w:t>Sharepoint</w:t>
        </w:r>
        <w:proofErr w:type="spellEnd"/>
      </w:hyperlink>
      <w:r w:rsidRPr="00D8277A">
        <w:rPr>
          <w:u w:val="single"/>
        </w:rPr>
        <w:t xml:space="preserve"> </w:t>
      </w:r>
      <w:r w:rsidRPr="00D8277A">
        <w:t>each designed to focus on one aspect of the Essentials and connect to a key section of AIIR</w:t>
      </w:r>
    </w:p>
    <w:p w14:paraId="50C5906D" w14:textId="77777777" w:rsidR="00CD439E" w:rsidRPr="00D8277A" w:rsidRDefault="00CD439E" w:rsidP="00CD439E">
      <w:pPr>
        <w:pStyle w:val="ListParagraph"/>
        <w:tabs>
          <w:tab w:val="left" w:pos="4700"/>
        </w:tabs>
        <w:spacing w:before="120"/>
        <w:ind w:left="1560"/>
      </w:pPr>
    </w:p>
    <w:p w14:paraId="4642946B" w14:textId="77777777" w:rsidR="00CD439E" w:rsidRDefault="00CD439E" w:rsidP="00CD439E">
      <w:pPr>
        <w:pStyle w:val="ListParagraph"/>
        <w:numPr>
          <w:ilvl w:val="0"/>
          <w:numId w:val="3"/>
        </w:numPr>
        <w:tabs>
          <w:tab w:val="left" w:pos="4700"/>
        </w:tabs>
        <w:spacing w:before="120"/>
        <w:ind w:left="1560" w:hanging="426"/>
      </w:pPr>
      <w:r w:rsidRPr="00D8277A">
        <w:t>Use one Thematic Annex for each APR, depending on your SEE</w:t>
      </w:r>
      <w:r>
        <w:t>. Only send out share the clean version with comments removed.</w:t>
      </w:r>
    </w:p>
    <w:p w14:paraId="03449927" w14:textId="77777777" w:rsidR="00CD439E" w:rsidRDefault="00CD439E" w:rsidP="00CD439E">
      <w:pPr>
        <w:pStyle w:val="ListParagraph"/>
      </w:pPr>
    </w:p>
    <w:p w14:paraId="79B41D32" w14:textId="77777777" w:rsidR="00CD439E" w:rsidRDefault="00CD439E" w:rsidP="00CD439E">
      <w:pPr>
        <w:pStyle w:val="ListParagraph"/>
        <w:numPr>
          <w:ilvl w:val="0"/>
          <w:numId w:val="3"/>
        </w:numPr>
        <w:tabs>
          <w:tab w:val="left" w:pos="4700"/>
        </w:tabs>
        <w:spacing w:before="120"/>
        <w:ind w:left="1560" w:hanging="426"/>
      </w:pPr>
      <w:r w:rsidRPr="00D8277A">
        <w:t>For longer apprenticeships e.g. 4+ years, each them</w:t>
      </w:r>
      <w:r>
        <w:t xml:space="preserve">atic annex </w:t>
      </w:r>
      <w:r w:rsidRPr="00D8277A">
        <w:t xml:space="preserve">might </w:t>
      </w:r>
      <w:r>
        <w:t>be deployed</w:t>
      </w:r>
      <w:r w:rsidRPr="00D8277A">
        <w:t xml:space="preserve"> more than once and so the WBLC can use the prompt questions to drive more progressive conversations depending on the SEE and the </w:t>
      </w:r>
      <w:r>
        <w:t xml:space="preserve">individual </w:t>
      </w:r>
      <w:r w:rsidRPr="00D8277A">
        <w:t>level of Apprentice engagement.</w:t>
      </w:r>
    </w:p>
    <w:p w14:paraId="0DD0F191" w14:textId="77777777" w:rsidR="00CD439E" w:rsidRDefault="00CD439E" w:rsidP="00CD439E">
      <w:pPr>
        <w:pStyle w:val="ListParagraph"/>
      </w:pPr>
    </w:p>
    <w:p w14:paraId="23D00F89" w14:textId="77777777" w:rsidR="00CD439E" w:rsidRDefault="00CD439E" w:rsidP="00CD439E">
      <w:pPr>
        <w:pStyle w:val="ListParagraph"/>
        <w:numPr>
          <w:ilvl w:val="0"/>
          <w:numId w:val="3"/>
        </w:numPr>
        <w:tabs>
          <w:tab w:val="left" w:pos="4700"/>
        </w:tabs>
        <w:spacing w:before="120"/>
        <w:ind w:left="1560" w:hanging="426"/>
      </w:pPr>
      <w:r w:rsidRPr="00D8277A">
        <w:t>WBLC should thank the apprentice an</w:t>
      </w:r>
      <w:r>
        <w:t>d</w:t>
      </w:r>
      <w:r w:rsidRPr="00D8277A">
        <w:t xml:space="preserve"> employer for engaging with the specific theme but check </w:t>
      </w:r>
      <w:r>
        <w:t>for ot</w:t>
      </w:r>
      <w:r w:rsidRPr="00D8277A">
        <w:t>her areas of high importance, particularly relating to Safeguarding and wellbeing that might warrant a high priority.</w:t>
      </w:r>
    </w:p>
    <w:p w14:paraId="7FF0B5A9" w14:textId="77777777" w:rsidR="00CD439E" w:rsidRDefault="00CD439E" w:rsidP="00CD439E">
      <w:pPr>
        <w:pStyle w:val="ListParagraph"/>
      </w:pPr>
    </w:p>
    <w:p w14:paraId="50760BC1" w14:textId="77777777" w:rsidR="00CD439E" w:rsidRDefault="00CD439E" w:rsidP="00CD439E">
      <w:pPr>
        <w:pStyle w:val="ListParagraph"/>
        <w:numPr>
          <w:ilvl w:val="0"/>
          <w:numId w:val="3"/>
        </w:numPr>
        <w:tabs>
          <w:tab w:val="left" w:pos="4700"/>
        </w:tabs>
        <w:spacing w:before="120"/>
        <w:ind w:left="1560" w:hanging="426"/>
      </w:pPr>
      <w:r w:rsidRPr="00D8277A">
        <w:t>Coaches may choose the order, but it is recommended to complete the overall APR first then bring in the Thematic Annex.</w:t>
      </w:r>
      <w:r w:rsidRPr="00185575">
        <w:t xml:space="preserve"> </w:t>
      </w:r>
      <w:r>
        <w:t xml:space="preserve">  </w:t>
      </w:r>
      <w:r w:rsidRPr="00D8277A">
        <w:t xml:space="preserve">Some of the relevant conversation on the theme may have already arise in the main APR, </w:t>
      </w:r>
      <w:r>
        <w:t>so draw on that to get the most out of the review.</w:t>
      </w:r>
    </w:p>
    <w:p w14:paraId="5BADD296" w14:textId="77777777" w:rsidR="00CD439E" w:rsidRDefault="00CD439E" w:rsidP="00CD439E">
      <w:pPr>
        <w:pStyle w:val="ListParagraph"/>
      </w:pPr>
    </w:p>
    <w:p w14:paraId="3674BEC7" w14:textId="77777777" w:rsidR="00CD439E" w:rsidRDefault="00CD439E" w:rsidP="00CD439E">
      <w:pPr>
        <w:pStyle w:val="ListParagraph"/>
        <w:numPr>
          <w:ilvl w:val="0"/>
          <w:numId w:val="3"/>
        </w:numPr>
        <w:tabs>
          <w:tab w:val="left" w:pos="4700"/>
        </w:tabs>
        <w:spacing w:before="120"/>
        <w:ind w:left="1560" w:hanging="426"/>
      </w:pPr>
      <w:r w:rsidRPr="00D8277A">
        <w:t xml:space="preserve">Each APR Annex uses a flow of questions, planned to </w:t>
      </w:r>
      <w:r>
        <w:t>maximise APR productivity</w:t>
      </w:r>
      <w:r w:rsidRPr="00D8277A">
        <w:t xml:space="preserve"> and drive KSB development</w:t>
      </w:r>
      <w:r>
        <w:t xml:space="preserve">.  It is not It is not </w:t>
      </w:r>
      <w:r w:rsidRPr="00347C51">
        <w:rPr>
          <w:i/>
          <w:iCs/>
        </w:rPr>
        <w:t>necessary</w:t>
      </w:r>
      <w:r>
        <w:t xml:space="preserve"> to write specific notes against the first two question boxes,  but if concerns or opportunities arise be sure to carry these forward as actions in the final box on the APR Annex form and then transpose SMART actions into the main APR action plan.</w:t>
      </w:r>
    </w:p>
    <w:p w14:paraId="37C79C8E" w14:textId="77777777" w:rsidR="00CD439E" w:rsidRPr="00D8277A" w:rsidRDefault="00CD439E" w:rsidP="00CD439E">
      <w:pPr>
        <w:pStyle w:val="ListParagraph"/>
        <w:tabs>
          <w:tab w:val="left" w:pos="4700"/>
        </w:tabs>
        <w:spacing w:before="120"/>
        <w:ind w:left="1560"/>
      </w:pPr>
    </w:p>
    <w:p w14:paraId="7FCDB944" w14:textId="77777777" w:rsidR="00CD439E" w:rsidRPr="00D8277A" w:rsidRDefault="00CD439E" w:rsidP="00CD439E">
      <w:pPr>
        <w:pStyle w:val="ListParagraph"/>
        <w:tabs>
          <w:tab w:val="left" w:pos="4700"/>
        </w:tabs>
        <w:spacing w:before="120"/>
        <w:ind w:left="1985"/>
      </w:pPr>
      <w:r>
        <w:rPr>
          <w:b/>
          <w:bCs/>
        </w:rPr>
        <w:t>Initial discussion – Learning on Programme</w:t>
      </w:r>
      <w:r w:rsidRPr="00D8277A">
        <w:rPr>
          <w:b/>
          <w:bCs/>
        </w:rPr>
        <w:t xml:space="preserve"> </w:t>
      </w:r>
    </w:p>
    <w:p w14:paraId="12496310" w14:textId="77777777" w:rsidR="00CD439E" w:rsidRDefault="00CD439E" w:rsidP="00CD439E">
      <w:pPr>
        <w:pStyle w:val="ListParagraph"/>
        <w:tabs>
          <w:tab w:val="left" w:pos="4700"/>
        </w:tabs>
        <w:spacing w:before="120"/>
        <w:ind w:left="1985"/>
      </w:pPr>
      <w:r w:rsidRPr="00D8277A">
        <w:t>Support the Apprentice to look back, align, or look forwards to relevant curriculum events (implementing a working SEE!)</w:t>
      </w:r>
    </w:p>
    <w:p w14:paraId="246A0BF2" w14:textId="77777777" w:rsidR="00CD439E" w:rsidRPr="00D8277A" w:rsidRDefault="00CD439E" w:rsidP="00CD439E">
      <w:pPr>
        <w:pStyle w:val="ListParagraph"/>
        <w:tabs>
          <w:tab w:val="left" w:pos="4700"/>
        </w:tabs>
        <w:spacing w:before="120"/>
        <w:ind w:left="1985"/>
      </w:pPr>
    </w:p>
    <w:p w14:paraId="1359000F" w14:textId="77777777" w:rsidR="00CD439E" w:rsidRDefault="00CD439E" w:rsidP="00CD439E">
      <w:pPr>
        <w:pStyle w:val="ListParagraph"/>
        <w:tabs>
          <w:tab w:val="left" w:pos="4700"/>
        </w:tabs>
        <w:spacing w:before="120"/>
        <w:ind w:left="1985"/>
        <w:rPr>
          <w:rStyle w:val="Hyperlink"/>
          <w:rFonts w:ascii="Calibri" w:hAnsi="Calibri"/>
          <w:b/>
        </w:rPr>
      </w:pPr>
      <w:r w:rsidRPr="000031F0">
        <w:rPr>
          <w:rFonts w:ascii="Calibri" w:hAnsi="Calibri"/>
          <w:b/>
        </w:rPr>
        <w:t xml:space="preserve">Further Discussion - Ongoing Reflection </w:t>
      </w:r>
      <w:r>
        <w:rPr>
          <w:rFonts w:ascii="Calibri" w:hAnsi="Calibri"/>
          <w:b/>
        </w:rPr>
        <w:t xml:space="preserve">of experience and </w:t>
      </w:r>
      <w:r w:rsidRPr="000031F0">
        <w:rPr>
          <w:rFonts w:ascii="Calibri" w:hAnsi="Calibri"/>
          <w:b/>
        </w:rPr>
        <w:t xml:space="preserve">in response to </w:t>
      </w:r>
      <w:hyperlink r:id="rId29" w:history="1">
        <w:r w:rsidRPr="00D22BFE">
          <w:rPr>
            <w:rStyle w:val="Hyperlink"/>
            <w:rFonts w:ascii="Calibri" w:hAnsi="Calibri"/>
            <w:b/>
          </w:rPr>
          <w:t>AIIR</w:t>
        </w:r>
      </w:hyperlink>
    </w:p>
    <w:p w14:paraId="5863FB51" w14:textId="77777777" w:rsidR="00CD439E" w:rsidRDefault="00CD439E" w:rsidP="00CD439E">
      <w:pPr>
        <w:pStyle w:val="ListParagraph"/>
        <w:tabs>
          <w:tab w:val="left" w:pos="4700"/>
        </w:tabs>
        <w:spacing w:before="120"/>
        <w:ind w:left="1985"/>
      </w:pPr>
      <w:r w:rsidRPr="00D8277A">
        <w:t xml:space="preserve">Facilitate discussion on thematic evidence within the workplace, </w:t>
      </w:r>
      <w:r>
        <w:t>u</w:t>
      </w:r>
      <w:r w:rsidRPr="00D8277A">
        <w:t>se tools and resources in AIIR to aid reflections making links to KSBs</w:t>
      </w:r>
      <w:r>
        <w:t>.  Use SEE to plan the release AIIR before and/or after the APR.</w:t>
      </w:r>
    </w:p>
    <w:p w14:paraId="0EAD314A" w14:textId="77777777" w:rsidR="00CD439E" w:rsidRPr="00347C51" w:rsidRDefault="00CD439E" w:rsidP="00CD439E">
      <w:pPr>
        <w:pStyle w:val="ListParagraph"/>
        <w:tabs>
          <w:tab w:val="left" w:pos="4700"/>
        </w:tabs>
        <w:spacing w:before="120"/>
        <w:ind w:left="1985"/>
      </w:pPr>
    </w:p>
    <w:p w14:paraId="254895B6" w14:textId="77777777" w:rsidR="00CD439E" w:rsidRDefault="00CD439E" w:rsidP="00CD439E">
      <w:pPr>
        <w:pStyle w:val="ListParagraph"/>
        <w:tabs>
          <w:tab w:val="left" w:pos="4700"/>
        </w:tabs>
        <w:spacing w:before="120"/>
        <w:ind w:left="1985"/>
      </w:pPr>
      <w:r w:rsidRPr="0093083B">
        <w:rPr>
          <w:rFonts w:ascii="Calibri" w:hAnsi="Calibri"/>
          <w:b/>
          <w:iCs/>
        </w:rPr>
        <w:t xml:space="preserve">Going Forward – </w:t>
      </w:r>
      <w:r>
        <w:rPr>
          <w:rFonts w:ascii="Calibri" w:hAnsi="Calibri"/>
          <w:b/>
          <w:iCs/>
        </w:rPr>
        <w:t xml:space="preserve">STARE </w:t>
      </w:r>
      <w:r w:rsidRPr="0093083B">
        <w:rPr>
          <w:rFonts w:ascii="Calibri" w:hAnsi="Calibri"/>
          <w:b/>
          <w:iCs/>
        </w:rPr>
        <w:t>Evidence and SMART targets</w:t>
      </w:r>
      <w:r w:rsidRPr="00D8277A">
        <w:t xml:space="preserve"> </w:t>
      </w:r>
    </w:p>
    <w:p w14:paraId="6CA438F0" w14:textId="77777777" w:rsidR="00CD439E" w:rsidRDefault="00CD439E" w:rsidP="00CD439E">
      <w:pPr>
        <w:pStyle w:val="ListParagraph"/>
        <w:tabs>
          <w:tab w:val="left" w:pos="4700"/>
        </w:tabs>
        <w:spacing w:before="120"/>
        <w:ind w:left="1985"/>
      </w:pPr>
      <w:r w:rsidRPr="00D8277A">
        <w:t>Explore and document agreed KSB evidence and generate SMART objectives linking back to Curriculum, AIIR and work role.</w:t>
      </w:r>
      <w:r>
        <w:t xml:space="preserve"> The Annex should be used to capture valuable parts of reflection and recognition of the theme (linking to STARE activities).  The resulting SMART target(s) must be transposed into the main APR form as an integral part of KSB development.</w:t>
      </w:r>
    </w:p>
    <w:p w14:paraId="73293683" w14:textId="77777777" w:rsidR="00CD439E" w:rsidRDefault="00CD439E" w:rsidP="00CD439E">
      <w:pPr>
        <w:pStyle w:val="ListParagraph"/>
        <w:tabs>
          <w:tab w:val="left" w:pos="4700"/>
        </w:tabs>
        <w:spacing w:before="120"/>
        <w:ind w:left="1985"/>
      </w:pPr>
    </w:p>
    <w:p w14:paraId="1C79125F" w14:textId="3E8319A8" w:rsidR="00FA6823" w:rsidRPr="00CD439E" w:rsidRDefault="00CD439E" w:rsidP="00CD439E">
      <w:pPr>
        <w:pStyle w:val="ListParagraph"/>
        <w:numPr>
          <w:ilvl w:val="0"/>
          <w:numId w:val="3"/>
        </w:numPr>
        <w:tabs>
          <w:tab w:val="left" w:pos="4700"/>
        </w:tabs>
        <w:spacing w:before="120"/>
        <w:ind w:left="1560" w:hanging="426"/>
      </w:pPr>
      <w:r>
        <w:t xml:space="preserve">After the </w:t>
      </w:r>
      <w:proofErr w:type="gramStart"/>
      <w:r>
        <w:t>APR</w:t>
      </w:r>
      <w:proofErr w:type="gramEnd"/>
      <w:r>
        <w:t xml:space="preserve"> the completed thematic Annex Document should be treated as part of the APR evidence base to be included in MAYTAS and used as a base for future reviews.</w:t>
      </w:r>
    </w:p>
    <w:sectPr w:rsidR="00FA6823" w:rsidRPr="00CD439E" w:rsidSect="009A2617">
      <w:headerReference w:type="default" r:id="rId30"/>
      <w:footerReference w:type="default" r:id="rId31"/>
      <w:headerReference w:type="first" r:id="rId32"/>
      <w:footerReference w:type="first" r:id="rId33"/>
      <w:type w:val="continuous"/>
      <w:pgSz w:w="11910" w:h="16840"/>
      <w:pgMar w:top="1260" w:right="640" w:bottom="993" w:left="420" w:header="708" w:footer="148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orwood, Sam" w:date="2020-10-27T16:14:00Z" w:initials="MS">
    <w:p w14:paraId="707CAE3B" w14:textId="0B00E977" w:rsidR="009A2617" w:rsidRDefault="009A2617">
      <w:pPr>
        <w:pStyle w:val="CommentText"/>
      </w:pPr>
      <w:r>
        <w:rPr>
          <w:rStyle w:val="CommentReference"/>
        </w:rPr>
        <w:annotationRef/>
      </w:r>
      <w:r>
        <w:t xml:space="preserve">Check the onboarding data and ensure the Apprentice is clear about enrolment on any </w:t>
      </w:r>
      <w:r w:rsidR="00182BE0">
        <w:t xml:space="preserve">formal Level 2 </w:t>
      </w:r>
      <w:r>
        <w:t>training courses normally with The Sheffield College</w:t>
      </w:r>
    </w:p>
  </w:comment>
  <w:comment w:id="1" w:author="Moorwood, Sam" w:date="2020-10-27T16:09:00Z" w:initials="MS">
    <w:p w14:paraId="1D1F46E0" w14:textId="19FFDE4F" w:rsidR="00182BE0" w:rsidRPr="0013539C" w:rsidRDefault="00182BE0" w:rsidP="009A2617">
      <w:pPr>
        <w:pStyle w:val="ListParagraph"/>
        <w:ind w:left="34"/>
        <w:rPr>
          <w:rFonts w:ascii="Calibri" w:hAnsi="Calibri"/>
        </w:rPr>
      </w:pPr>
      <w:r>
        <w:rPr>
          <w:rStyle w:val="CommentReference"/>
        </w:rPr>
        <w:annotationRef/>
      </w:r>
      <w:r w:rsidRPr="0013539C">
        <w:rPr>
          <w:rFonts w:ascii="Calibri" w:eastAsia="Times New Roman" w:hAnsi="Calibri" w:cs="Times New Roman"/>
          <w:lang w:eastAsia="en-GB"/>
        </w:rPr>
        <w:t xml:space="preserve">Is there an initial Training Plan yet? -  perhaps built using the SHU Employer </w:t>
      </w:r>
      <w:hyperlink r:id="rId1" w:history="1">
        <w:r w:rsidRPr="0013539C">
          <w:rPr>
            <w:rStyle w:val="Hyperlink"/>
            <w:rFonts w:ascii="Calibri" w:hAnsi="Calibri"/>
            <w:color w:val="auto"/>
          </w:rPr>
          <w:t>Training Plan Toolkit</w:t>
        </w:r>
      </w:hyperlink>
      <w:r w:rsidRPr="0013539C">
        <w:rPr>
          <w:rFonts w:ascii="Calibri" w:hAnsi="Calibri"/>
        </w:rPr>
        <w:t xml:space="preserve"> )</w:t>
      </w:r>
    </w:p>
    <w:p w14:paraId="778297AA" w14:textId="77777777" w:rsidR="0013539C" w:rsidRDefault="0013539C" w:rsidP="009A2617">
      <w:pPr>
        <w:pStyle w:val="ListParagraph"/>
        <w:ind w:left="34"/>
        <w:rPr>
          <w:rFonts w:ascii="Calibri" w:eastAsia="Times New Roman" w:hAnsi="Calibri" w:cs="Times New Roman"/>
          <w:lang w:eastAsia="en-GB"/>
        </w:rPr>
      </w:pPr>
    </w:p>
    <w:p w14:paraId="08002E4E" w14:textId="1A66DEEB" w:rsidR="0013539C" w:rsidRPr="0013539C" w:rsidRDefault="0013539C" w:rsidP="009A2617">
      <w:pPr>
        <w:pStyle w:val="ListParagraph"/>
        <w:ind w:left="34"/>
        <w:rPr>
          <w:rFonts w:ascii="Calibri" w:eastAsia="Times New Roman" w:hAnsi="Calibri" w:cs="Times New Roman"/>
          <w:lang w:eastAsia="en-GB"/>
        </w:rPr>
      </w:pPr>
      <w:r w:rsidRPr="0013539C">
        <w:rPr>
          <w:rFonts w:ascii="Calibri" w:eastAsia="Times New Roman" w:hAnsi="Calibri" w:cs="Times New Roman"/>
          <w:lang w:eastAsia="en-GB"/>
        </w:rPr>
        <w:t>The Training Plan includes early consideration and progressive planning for WBL Projects.</w:t>
      </w:r>
    </w:p>
    <w:p w14:paraId="4B9D4377" w14:textId="77777777" w:rsidR="0013539C" w:rsidRPr="0013539C" w:rsidRDefault="0013539C" w:rsidP="009A2617">
      <w:pPr>
        <w:pStyle w:val="ListParagraph"/>
        <w:ind w:left="34"/>
        <w:rPr>
          <w:rFonts w:ascii="Calibri" w:eastAsia="Times New Roman" w:hAnsi="Calibri" w:cs="Times New Roman"/>
          <w:lang w:eastAsia="en-GB"/>
        </w:rPr>
      </w:pPr>
    </w:p>
    <w:p w14:paraId="34579141" w14:textId="159542E3" w:rsidR="0013539C" w:rsidRPr="000031F0" w:rsidRDefault="0013539C" w:rsidP="009A2617">
      <w:pPr>
        <w:pStyle w:val="ListParagraph"/>
        <w:ind w:left="34"/>
        <w:rPr>
          <w:rFonts w:ascii="Calibri" w:eastAsia="Times New Roman" w:hAnsi="Calibri" w:cs="Times New Roman"/>
          <w:color w:val="808080" w:themeColor="background1" w:themeShade="80"/>
          <w:lang w:eastAsia="en-GB"/>
        </w:rPr>
      </w:pPr>
      <w:r w:rsidRPr="0013539C">
        <w:rPr>
          <w:rFonts w:ascii="Calibri" w:eastAsia="Times New Roman" w:hAnsi="Calibri" w:cs="Times New Roman"/>
          <w:lang w:eastAsia="en-GB"/>
        </w:rPr>
        <w:t>Is the Apprentice and their employer ready to talk about scoping those out?</w:t>
      </w:r>
    </w:p>
    <w:p w14:paraId="53EED0BF" w14:textId="77777777" w:rsidR="00182BE0" w:rsidRDefault="00182BE0" w:rsidP="009A261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7CAE3B" w15:done="0"/>
  <w15:commentEx w15:paraId="53EED0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C5D7" w16cex:dateUtc="2020-10-27T16:14:00Z"/>
  <w16cex:commentExtensible w16cex:durableId="2342C4BD" w16cex:dateUtc="2020-10-27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7CAE3B" w16cid:durableId="2342C5D7"/>
  <w16cid:commentId w16cid:paraId="53EED0BF" w16cid:durableId="2342C4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93FD3" w14:textId="77777777" w:rsidR="00B63D80" w:rsidRDefault="00B63D80" w:rsidP="006F4EEE">
      <w:pPr>
        <w:spacing w:after="0" w:line="240" w:lineRule="auto"/>
      </w:pPr>
      <w:r>
        <w:separator/>
      </w:r>
    </w:p>
  </w:endnote>
  <w:endnote w:type="continuationSeparator" w:id="0">
    <w:p w14:paraId="44F68653" w14:textId="77777777" w:rsidR="00B63D80" w:rsidRDefault="00B63D80" w:rsidP="006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Clerkenwell">
    <w:panose1 w:val="02000503020000020004"/>
    <w:charset w:val="00"/>
    <w:family w:val="modern"/>
    <w:notTrueType/>
    <w:pitch w:val="variable"/>
    <w:sig w:usb0="800000A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538206"/>
      <w:docPartObj>
        <w:docPartGallery w:val="Page Numbers (Bottom of Page)"/>
        <w:docPartUnique/>
      </w:docPartObj>
    </w:sdtPr>
    <w:sdtEndPr>
      <w:rPr>
        <w:noProof/>
      </w:rPr>
    </w:sdtEndPr>
    <w:sdtContent>
      <w:p w14:paraId="18E1D2DE" w14:textId="77777777" w:rsidR="00C7438E" w:rsidRDefault="00C7438E">
        <w:pPr>
          <w:pStyle w:val="Footer"/>
          <w:jc w:val="right"/>
        </w:pPr>
        <w:r>
          <w:fldChar w:fldCharType="begin"/>
        </w:r>
        <w:r>
          <w:instrText xml:space="preserve"> PAGE   \* MERGEFORMAT </w:instrText>
        </w:r>
        <w:r>
          <w:fldChar w:fldCharType="separate"/>
        </w:r>
        <w:r w:rsidR="00FA6823">
          <w:rPr>
            <w:noProof/>
          </w:rPr>
          <w:t>1</w:t>
        </w:r>
        <w:r>
          <w:rPr>
            <w:noProof/>
          </w:rPr>
          <w:fldChar w:fldCharType="end"/>
        </w:r>
      </w:p>
    </w:sdtContent>
  </w:sdt>
  <w:p w14:paraId="2A634D97" w14:textId="59848406" w:rsidR="00C7438E" w:rsidRDefault="00E60926">
    <w:fldSimple w:instr=" FILENAME  \* Caps  \* MERGEFORMAT ">
      <w:r w:rsidR="00096127">
        <w:rPr>
          <w:noProof/>
        </w:rPr>
        <w:t xml:space="preserve">Apprenticeship-Progress-Review-Annex </w:t>
      </w:r>
      <w:r w:rsidR="001B37C4">
        <w:rPr>
          <w:noProof/>
        </w:rPr>
        <w:t>- On-Boarding - Initial Review v</w:t>
      </w:r>
      <w:r w:rsidR="00CD439E">
        <w:rPr>
          <w:noProof/>
        </w:rPr>
        <w:t>Nov</w:t>
      </w:r>
      <w:r w:rsidR="00096127">
        <w:rPr>
          <w:noProof/>
        </w:rPr>
        <w:t>2020.Docx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E247" w14:textId="77777777" w:rsidR="00C7438E" w:rsidRPr="00FB6058" w:rsidRDefault="00E60926" w:rsidP="00FB6058">
    <w:pPr>
      <w:pStyle w:val="Footer"/>
    </w:pPr>
    <w:fldSimple w:instr=" FILENAME   \* MERGEFORMAT ">
      <w:r w:rsidR="00096127">
        <w:rPr>
          <w:noProof/>
        </w:rPr>
        <w:t>Apprenticeship-Progress-Review-Annex Wellbeing v16April2020.docx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BC835" w14:textId="77777777" w:rsidR="00B63D80" w:rsidRDefault="00B63D80" w:rsidP="006F4EEE">
      <w:pPr>
        <w:spacing w:after="0" w:line="240" w:lineRule="auto"/>
      </w:pPr>
      <w:r>
        <w:separator/>
      </w:r>
    </w:p>
  </w:footnote>
  <w:footnote w:type="continuationSeparator" w:id="0">
    <w:p w14:paraId="4C9AAB96" w14:textId="77777777" w:rsidR="00B63D80" w:rsidRDefault="00B63D80" w:rsidP="006F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3A39" w14:textId="77777777" w:rsidR="00C7438E" w:rsidRDefault="00C7438E">
    <w:pPr>
      <w:pStyle w:val="Header"/>
    </w:pPr>
    <w:r w:rsidRPr="00C71F9E">
      <w:rPr>
        <w:rFonts w:ascii="Arial" w:hAnsi="Arial" w:cs="Arial"/>
        <w:noProof/>
        <w:sz w:val="24"/>
        <w:szCs w:val="24"/>
        <w:lang w:eastAsia="en-GB"/>
      </w:rPr>
      <w:drawing>
        <wp:inline distT="0" distB="0" distL="0" distR="0" wp14:anchorId="01DDB324" wp14:editId="312E1B82">
          <wp:extent cx="711200" cy="352328"/>
          <wp:effectExtent l="0" t="0" r="0" b="0"/>
          <wp:docPr id="10" name="Picture 10"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ptab w:relativeTo="margin" w:alignment="center" w:leader="none"/>
    </w:r>
    <w:r w:rsidRPr="00FA741F">
      <w:rPr>
        <w:noProof/>
        <w:color w:val="1F497D"/>
        <w:lang w:eastAsia="en-GB"/>
      </w:rPr>
      <w:t xml:space="preserve"> </w:t>
    </w:r>
    <w:r>
      <w:ptab w:relativeTo="margin" w:alignment="right" w:leader="none"/>
    </w:r>
    <w:r>
      <w:t xml:space="preserve"> </w:t>
    </w:r>
  </w:p>
  <w:p w14:paraId="0C4382D6" w14:textId="77777777" w:rsidR="00C7438E" w:rsidRDefault="00C7438E" w:rsidP="00E34CFD">
    <w:pPr>
      <w:tabs>
        <w:tab w:val="left" w:pos="14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6145" w14:textId="77777777" w:rsidR="00C7438E" w:rsidRDefault="00C7438E" w:rsidP="00FB6058">
    <w:pPr>
      <w:tabs>
        <w:tab w:val="left" w:pos="720"/>
        <w:tab w:val="left" w:pos="1440"/>
        <w:tab w:val="left" w:pos="2160"/>
        <w:tab w:val="left" w:pos="2880"/>
        <w:tab w:val="left" w:pos="7759"/>
      </w:tabs>
      <w:spacing w:after="0" w:line="240" w:lineRule="auto"/>
      <w:rPr>
        <w:lang w:eastAsia="zh-CN"/>
      </w:rPr>
    </w:pPr>
    <w:r w:rsidRPr="00C71F9E">
      <w:rPr>
        <w:rFonts w:ascii="Arial" w:hAnsi="Arial" w:cs="Arial"/>
        <w:noProof/>
        <w:sz w:val="24"/>
        <w:szCs w:val="24"/>
        <w:lang w:eastAsia="en-GB"/>
      </w:rPr>
      <w:drawing>
        <wp:inline distT="0" distB="0" distL="0" distR="0" wp14:anchorId="50E2233E" wp14:editId="0E6EEA47">
          <wp:extent cx="711200" cy="352328"/>
          <wp:effectExtent l="0" t="0" r="0" b="0"/>
          <wp:docPr id="11"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tab/>
      <w:t xml:space="preserve">                                                                                                                   </w:t>
    </w:r>
    <w:r>
      <w:rPr>
        <w:noProof/>
        <w:color w:val="1F497D"/>
        <w:lang w:eastAsia="en-GB"/>
      </w:rPr>
      <w:drawing>
        <wp:inline distT="0" distB="0" distL="0" distR="0" wp14:anchorId="501E56B8" wp14:editId="36F1C223">
          <wp:extent cx="981075" cy="357838"/>
          <wp:effectExtent l="0" t="0" r="0" b="4445"/>
          <wp:docPr id="12" name="Picture 12" descr="cid:image001.jpg@01D56F94.A2C4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6F94.A2C414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86990" cy="359996"/>
                  </a:xfrm>
                  <a:prstGeom prst="rect">
                    <a:avLst/>
                  </a:prstGeom>
                  <a:noFill/>
                  <a:ln>
                    <a:noFill/>
                  </a:ln>
                </pic:spPr>
              </pic:pic>
            </a:graphicData>
          </a:graphic>
        </wp:inline>
      </w:drawing>
    </w:r>
    <w:r>
      <w:rPr>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6A7"/>
    <w:multiLevelType w:val="hybridMultilevel"/>
    <w:tmpl w:val="C058A86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11AA4E9B"/>
    <w:multiLevelType w:val="hybridMultilevel"/>
    <w:tmpl w:val="BC64E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4A75FA"/>
    <w:multiLevelType w:val="hybridMultilevel"/>
    <w:tmpl w:val="7ACE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orwood, Sam">
    <w15:presenceInfo w15:providerId="AD" w15:userId="S::dssm@hallam.shu.ac.uk::78524a98-639a-4b78-ae5a-4c57bc604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683"/>
    <w:rsid w:val="0000138F"/>
    <w:rsid w:val="000031F0"/>
    <w:rsid w:val="00003859"/>
    <w:rsid w:val="0000628E"/>
    <w:rsid w:val="00014B53"/>
    <w:rsid w:val="00020CFD"/>
    <w:rsid w:val="000250F0"/>
    <w:rsid w:val="000268B9"/>
    <w:rsid w:val="00027BBD"/>
    <w:rsid w:val="0003158D"/>
    <w:rsid w:val="000341F8"/>
    <w:rsid w:val="00035511"/>
    <w:rsid w:val="00036CC4"/>
    <w:rsid w:val="0005463C"/>
    <w:rsid w:val="00060015"/>
    <w:rsid w:val="00060E0C"/>
    <w:rsid w:val="00064503"/>
    <w:rsid w:val="00064F8D"/>
    <w:rsid w:val="00066C6E"/>
    <w:rsid w:val="000715FF"/>
    <w:rsid w:val="000827C9"/>
    <w:rsid w:val="0009198E"/>
    <w:rsid w:val="00091EF0"/>
    <w:rsid w:val="00093709"/>
    <w:rsid w:val="00096127"/>
    <w:rsid w:val="000A02FE"/>
    <w:rsid w:val="000A244E"/>
    <w:rsid w:val="000B1A08"/>
    <w:rsid w:val="000B4C9F"/>
    <w:rsid w:val="000B7522"/>
    <w:rsid w:val="000C1A28"/>
    <w:rsid w:val="000C3F0F"/>
    <w:rsid w:val="000D2ACE"/>
    <w:rsid w:val="000D67BE"/>
    <w:rsid w:val="000E393A"/>
    <w:rsid w:val="000E4AD6"/>
    <w:rsid w:val="000F2A67"/>
    <w:rsid w:val="000F4D4B"/>
    <w:rsid w:val="000F5531"/>
    <w:rsid w:val="000F7267"/>
    <w:rsid w:val="00104277"/>
    <w:rsid w:val="0010497C"/>
    <w:rsid w:val="0010658E"/>
    <w:rsid w:val="001070FD"/>
    <w:rsid w:val="00115FAA"/>
    <w:rsid w:val="00120E44"/>
    <w:rsid w:val="00122D4B"/>
    <w:rsid w:val="001241F5"/>
    <w:rsid w:val="00124576"/>
    <w:rsid w:val="00127631"/>
    <w:rsid w:val="00134ECB"/>
    <w:rsid w:val="0013539C"/>
    <w:rsid w:val="00135A57"/>
    <w:rsid w:val="001370EC"/>
    <w:rsid w:val="00140CF8"/>
    <w:rsid w:val="00141F6F"/>
    <w:rsid w:val="00142B3B"/>
    <w:rsid w:val="00142E52"/>
    <w:rsid w:val="001452C3"/>
    <w:rsid w:val="001469BB"/>
    <w:rsid w:val="00147F83"/>
    <w:rsid w:val="00162A9C"/>
    <w:rsid w:val="00177B6D"/>
    <w:rsid w:val="00182BE0"/>
    <w:rsid w:val="001A4B50"/>
    <w:rsid w:val="001B05CE"/>
    <w:rsid w:val="001B37C4"/>
    <w:rsid w:val="001B579B"/>
    <w:rsid w:val="001C14AC"/>
    <w:rsid w:val="001C6BB4"/>
    <w:rsid w:val="001D06BA"/>
    <w:rsid w:val="001E182B"/>
    <w:rsid w:val="001E38CA"/>
    <w:rsid w:val="001E4E81"/>
    <w:rsid w:val="001E6B4A"/>
    <w:rsid w:val="001F1516"/>
    <w:rsid w:val="001F632B"/>
    <w:rsid w:val="002006EC"/>
    <w:rsid w:val="0020380B"/>
    <w:rsid w:val="002038E1"/>
    <w:rsid w:val="0020655A"/>
    <w:rsid w:val="00216902"/>
    <w:rsid w:val="002222E7"/>
    <w:rsid w:val="00227F12"/>
    <w:rsid w:val="00230629"/>
    <w:rsid w:val="00231426"/>
    <w:rsid w:val="00237995"/>
    <w:rsid w:val="00243FFB"/>
    <w:rsid w:val="00246B25"/>
    <w:rsid w:val="0025299C"/>
    <w:rsid w:val="00261D55"/>
    <w:rsid w:val="00264C21"/>
    <w:rsid w:val="002661E3"/>
    <w:rsid w:val="00266360"/>
    <w:rsid w:val="002746DC"/>
    <w:rsid w:val="002768E2"/>
    <w:rsid w:val="00280C00"/>
    <w:rsid w:val="00283BBF"/>
    <w:rsid w:val="002870FD"/>
    <w:rsid w:val="00287D15"/>
    <w:rsid w:val="00292D80"/>
    <w:rsid w:val="00293844"/>
    <w:rsid w:val="0029423F"/>
    <w:rsid w:val="00297C7C"/>
    <w:rsid w:val="002A056A"/>
    <w:rsid w:val="002A192B"/>
    <w:rsid w:val="002A1EE6"/>
    <w:rsid w:val="002A279B"/>
    <w:rsid w:val="002B19A9"/>
    <w:rsid w:val="002B4943"/>
    <w:rsid w:val="002B49AE"/>
    <w:rsid w:val="002D45B4"/>
    <w:rsid w:val="002D6768"/>
    <w:rsid w:val="002D7817"/>
    <w:rsid w:val="002E250D"/>
    <w:rsid w:val="002E3FDA"/>
    <w:rsid w:val="002E4D83"/>
    <w:rsid w:val="002E67FD"/>
    <w:rsid w:val="002F0AF7"/>
    <w:rsid w:val="002F3F01"/>
    <w:rsid w:val="002F3FD5"/>
    <w:rsid w:val="00306233"/>
    <w:rsid w:val="00310B8E"/>
    <w:rsid w:val="003115A7"/>
    <w:rsid w:val="003173CF"/>
    <w:rsid w:val="00317B85"/>
    <w:rsid w:val="00320691"/>
    <w:rsid w:val="003242AE"/>
    <w:rsid w:val="00330068"/>
    <w:rsid w:val="00331C3C"/>
    <w:rsid w:val="00336626"/>
    <w:rsid w:val="0034557D"/>
    <w:rsid w:val="003522BC"/>
    <w:rsid w:val="0035307B"/>
    <w:rsid w:val="00354402"/>
    <w:rsid w:val="00361910"/>
    <w:rsid w:val="003646D5"/>
    <w:rsid w:val="00367751"/>
    <w:rsid w:val="003749CC"/>
    <w:rsid w:val="00376F92"/>
    <w:rsid w:val="003838E5"/>
    <w:rsid w:val="00391309"/>
    <w:rsid w:val="00392791"/>
    <w:rsid w:val="003940CA"/>
    <w:rsid w:val="00395655"/>
    <w:rsid w:val="003975FB"/>
    <w:rsid w:val="0039791F"/>
    <w:rsid w:val="003A0210"/>
    <w:rsid w:val="003A0D10"/>
    <w:rsid w:val="003A0D3F"/>
    <w:rsid w:val="003A3787"/>
    <w:rsid w:val="003A378B"/>
    <w:rsid w:val="003A3812"/>
    <w:rsid w:val="003A7F54"/>
    <w:rsid w:val="003B72C4"/>
    <w:rsid w:val="003C1219"/>
    <w:rsid w:val="003C21D9"/>
    <w:rsid w:val="003C36D1"/>
    <w:rsid w:val="003C37D4"/>
    <w:rsid w:val="003C3AA4"/>
    <w:rsid w:val="003C45B8"/>
    <w:rsid w:val="003D07FC"/>
    <w:rsid w:val="003D0EC5"/>
    <w:rsid w:val="003D4216"/>
    <w:rsid w:val="003E1ACD"/>
    <w:rsid w:val="003F0707"/>
    <w:rsid w:val="003F70CE"/>
    <w:rsid w:val="004014AD"/>
    <w:rsid w:val="00404BD2"/>
    <w:rsid w:val="00407BD2"/>
    <w:rsid w:val="004129E3"/>
    <w:rsid w:val="0041471E"/>
    <w:rsid w:val="00416E84"/>
    <w:rsid w:val="00423028"/>
    <w:rsid w:val="00426A76"/>
    <w:rsid w:val="00432683"/>
    <w:rsid w:val="00435536"/>
    <w:rsid w:val="00437933"/>
    <w:rsid w:val="00440C4D"/>
    <w:rsid w:val="00443787"/>
    <w:rsid w:val="004504EE"/>
    <w:rsid w:val="004513B1"/>
    <w:rsid w:val="00460E65"/>
    <w:rsid w:val="0046620C"/>
    <w:rsid w:val="00473970"/>
    <w:rsid w:val="00480BD3"/>
    <w:rsid w:val="00485AEE"/>
    <w:rsid w:val="0049486E"/>
    <w:rsid w:val="00497DF1"/>
    <w:rsid w:val="004A5B70"/>
    <w:rsid w:val="004A6D28"/>
    <w:rsid w:val="004A7FC2"/>
    <w:rsid w:val="004B28B0"/>
    <w:rsid w:val="004B5A22"/>
    <w:rsid w:val="004C0DBC"/>
    <w:rsid w:val="004C19D0"/>
    <w:rsid w:val="004C1F3D"/>
    <w:rsid w:val="004C4184"/>
    <w:rsid w:val="004C4F2F"/>
    <w:rsid w:val="004C5ED2"/>
    <w:rsid w:val="004C79A7"/>
    <w:rsid w:val="004D5A0C"/>
    <w:rsid w:val="004D69A4"/>
    <w:rsid w:val="004E17C1"/>
    <w:rsid w:val="004E3088"/>
    <w:rsid w:val="004E4CB0"/>
    <w:rsid w:val="004F1982"/>
    <w:rsid w:val="004F7EB3"/>
    <w:rsid w:val="00502197"/>
    <w:rsid w:val="0050350B"/>
    <w:rsid w:val="00505F1D"/>
    <w:rsid w:val="00510E28"/>
    <w:rsid w:val="005174E4"/>
    <w:rsid w:val="005206A8"/>
    <w:rsid w:val="00521849"/>
    <w:rsid w:val="005218A7"/>
    <w:rsid w:val="00526A28"/>
    <w:rsid w:val="005319AD"/>
    <w:rsid w:val="005321DD"/>
    <w:rsid w:val="00537929"/>
    <w:rsid w:val="0054179B"/>
    <w:rsid w:val="0054434F"/>
    <w:rsid w:val="00544B9C"/>
    <w:rsid w:val="00555D1B"/>
    <w:rsid w:val="00562B23"/>
    <w:rsid w:val="00563281"/>
    <w:rsid w:val="00570608"/>
    <w:rsid w:val="00581044"/>
    <w:rsid w:val="0058219C"/>
    <w:rsid w:val="00582486"/>
    <w:rsid w:val="00587B07"/>
    <w:rsid w:val="005910D3"/>
    <w:rsid w:val="00591660"/>
    <w:rsid w:val="00592493"/>
    <w:rsid w:val="00594506"/>
    <w:rsid w:val="00594F3A"/>
    <w:rsid w:val="00596828"/>
    <w:rsid w:val="005A04EA"/>
    <w:rsid w:val="005A1C9E"/>
    <w:rsid w:val="005A63E7"/>
    <w:rsid w:val="005B191C"/>
    <w:rsid w:val="005B3AAC"/>
    <w:rsid w:val="005C1F6A"/>
    <w:rsid w:val="005C2490"/>
    <w:rsid w:val="005C6A46"/>
    <w:rsid w:val="005D1545"/>
    <w:rsid w:val="005D5222"/>
    <w:rsid w:val="005E0AC4"/>
    <w:rsid w:val="005E7535"/>
    <w:rsid w:val="005E7D6C"/>
    <w:rsid w:val="005F211A"/>
    <w:rsid w:val="005F27FA"/>
    <w:rsid w:val="00601CA5"/>
    <w:rsid w:val="00602E33"/>
    <w:rsid w:val="00604847"/>
    <w:rsid w:val="00614449"/>
    <w:rsid w:val="00614B2C"/>
    <w:rsid w:val="0062035A"/>
    <w:rsid w:val="00624184"/>
    <w:rsid w:val="00630454"/>
    <w:rsid w:val="00631117"/>
    <w:rsid w:val="0063298E"/>
    <w:rsid w:val="00641D0D"/>
    <w:rsid w:val="006505AF"/>
    <w:rsid w:val="00650AD1"/>
    <w:rsid w:val="00650E03"/>
    <w:rsid w:val="00652AAA"/>
    <w:rsid w:val="006563E1"/>
    <w:rsid w:val="00661CEA"/>
    <w:rsid w:val="006637A5"/>
    <w:rsid w:val="006639EA"/>
    <w:rsid w:val="0066462C"/>
    <w:rsid w:val="00666527"/>
    <w:rsid w:val="006766FA"/>
    <w:rsid w:val="00676A1A"/>
    <w:rsid w:val="006825B3"/>
    <w:rsid w:val="00683341"/>
    <w:rsid w:val="006849C6"/>
    <w:rsid w:val="00684ECB"/>
    <w:rsid w:val="006855E2"/>
    <w:rsid w:val="00686E8F"/>
    <w:rsid w:val="006A1ED8"/>
    <w:rsid w:val="006A4DE5"/>
    <w:rsid w:val="006A7F2D"/>
    <w:rsid w:val="006B068F"/>
    <w:rsid w:val="006B4B46"/>
    <w:rsid w:val="006B6218"/>
    <w:rsid w:val="006C0A2F"/>
    <w:rsid w:val="006C1B77"/>
    <w:rsid w:val="006C3059"/>
    <w:rsid w:val="006C4193"/>
    <w:rsid w:val="006C53BF"/>
    <w:rsid w:val="006C6D26"/>
    <w:rsid w:val="006C780C"/>
    <w:rsid w:val="006D0109"/>
    <w:rsid w:val="006D25AF"/>
    <w:rsid w:val="006D4707"/>
    <w:rsid w:val="006E6492"/>
    <w:rsid w:val="006F4EEE"/>
    <w:rsid w:val="00700C24"/>
    <w:rsid w:val="00700F5C"/>
    <w:rsid w:val="00703911"/>
    <w:rsid w:val="0071223E"/>
    <w:rsid w:val="007122A2"/>
    <w:rsid w:val="007151C0"/>
    <w:rsid w:val="00717331"/>
    <w:rsid w:val="00721EC2"/>
    <w:rsid w:val="00723D18"/>
    <w:rsid w:val="007250C7"/>
    <w:rsid w:val="00726966"/>
    <w:rsid w:val="00726FD0"/>
    <w:rsid w:val="00732047"/>
    <w:rsid w:val="00733909"/>
    <w:rsid w:val="00741F57"/>
    <w:rsid w:val="00745E11"/>
    <w:rsid w:val="00751494"/>
    <w:rsid w:val="00762FAD"/>
    <w:rsid w:val="007633BA"/>
    <w:rsid w:val="007674EA"/>
    <w:rsid w:val="0077234D"/>
    <w:rsid w:val="00772C79"/>
    <w:rsid w:val="00787175"/>
    <w:rsid w:val="00787502"/>
    <w:rsid w:val="0079457A"/>
    <w:rsid w:val="007945BB"/>
    <w:rsid w:val="007A1276"/>
    <w:rsid w:val="007A16F3"/>
    <w:rsid w:val="007A217A"/>
    <w:rsid w:val="007A5BA6"/>
    <w:rsid w:val="007A6F32"/>
    <w:rsid w:val="007B7DED"/>
    <w:rsid w:val="007C6E65"/>
    <w:rsid w:val="007D5159"/>
    <w:rsid w:val="007D5CF6"/>
    <w:rsid w:val="007D7F70"/>
    <w:rsid w:val="007E21EB"/>
    <w:rsid w:val="007E5667"/>
    <w:rsid w:val="007F2227"/>
    <w:rsid w:val="007F26EB"/>
    <w:rsid w:val="007F70CC"/>
    <w:rsid w:val="007F72DD"/>
    <w:rsid w:val="007F7D97"/>
    <w:rsid w:val="008007BC"/>
    <w:rsid w:val="00801A34"/>
    <w:rsid w:val="008043C3"/>
    <w:rsid w:val="008051EF"/>
    <w:rsid w:val="008107E4"/>
    <w:rsid w:val="00814288"/>
    <w:rsid w:val="00815911"/>
    <w:rsid w:val="00816FA0"/>
    <w:rsid w:val="00827330"/>
    <w:rsid w:val="00831B80"/>
    <w:rsid w:val="00836B87"/>
    <w:rsid w:val="00843650"/>
    <w:rsid w:val="00852375"/>
    <w:rsid w:val="00854CFC"/>
    <w:rsid w:val="00862340"/>
    <w:rsid w:val="00862E48"/>
    <w:rsid w:val="0086533E"/>
    <w:rsid w:val="00865485"/>
    <w:rsid w:val="008662CD"/>
    <w:rsid w:val="0087106C"/>
    <w:rsid w:val="00871B59"/>
    <w:rsid w:val="00881D22"/>
    <w:rsid w:val="0088529D"/>
    <w:rsid w:val="00897F74"/>
    <w:rsid w:val="008A0719"/>
    <w:rsid w:val="008A7002"/>
    <w:rsid w:val="008A7D1A"/>
    <w:rsid w:val="008B3799"/>
    <w:rsid w:val="008B6241"/>
    <w:rsid w:val="008B6E92"/>
    <w:rsid w:val="008B780A"/>
    <w:rsid w:val="008C4DDB"/>
    <w:rsid w:val="008C7B9A"/>
    <w:rsid w:val="008D501F"/>
    <w:rsid w:val="008D72F7"/>
    <w:rsid w:val="008E5970"/>
    <w:rsid w:val="008E7555"/>
    <w:rsid w:val="008F067E"/>
    <w:rsid w:val="00904A5F"/>
    <w:rsid w:val="0090505D"/>
    <w:rsid w:val="009067F2"/>
    <w:rsid w:val="00910DE9"/>
    <w:rsid w:val="00917B23"/>
    <w:rsid w:val="00922901"/>
    <w:rsid w:val="00925C37"/>
    <w:rsid w:val="00931789"/>
    <w:rsid w:val="0093260D"/>
    <w:rsid w:val="00944058"/>
    <w:rsid w:val="009529CB"/>
    <w:rsid w:val="0095617B"/>
    <w:rsid w:val="00956683"/>
    <w:rsid w:val="00956AD5"/>
    <w:rsid w:val="00962AC4"/>
    <w:rsid w:val="00966383"/>
    <w:rsid w:val="00966B0D"/>
    <w:rsid w:val="00975B51"/>
    <w:rsid w:val="009803F2"/>
    <w:rsid w:val="00981DEB"/>
    <w:rsid w:val="00982655"/>
    <w:rsid w:val="00982D7F"/>
    <w:rsid w:val="00983088"/>
    <w:rsid w:val="00990CD3"/>
    <w:rsid w:val="00994951"/>
    <w:rsid w:val="009A1374"/>
    <w:rsid w:val="009A2617"/>
    <w:rsid w:val="009A345E"/>
    <w:rsid w:val="009A7F11"/>
    <w:rsid w:val="009B322D"/>
    <w:rsid w:val="009B3CA3"/>
    <w:rsid w:val="009B5F3A"/>
    <w:rsid w:val="009C1457"/>
    <w:rsid w:val="009C21F9"/>
    <w:rsid w:val="009C4187"/>
    <w:rsid w:val="009C554F"/>
    <w:rsid w:val="009C6FE8"/>
    <w:rsid w:val="009D0212"/>
    <w:rsid w:val="009D10B2"/>
    <w:rsid w:val="009D3826"/>
    <w:rsid w:val="009D663B"/>
    <w:rsid w:val="009E35AC"/>
    <w:rsid w:val="009F03E9"/>
    <w:rsid w:val="009F2117"/>
    <w:rsid w:val="009F4ACA"/>
    <w:rsid w:val="009F5C9B"/>
    <w:rsid w:val="009F6B2A"/>
    <w:rsid w:val="00A01C12"/>
    <w:rsid w:val="00A059DD"/>
    <w:rsid w:val="00A139B9"/>
    <w:rsid w:val="00A13E5C"/>
    <w:rsid w:val="00A220D4"/>
    <w:rsid w:val="00A2442F"/>
    <w:rsid w:val="00A27CA5"/>
    <w:rsid w:val="00A30722"/>
    <w:rsid w:val="00A34B2E"/>
    <w:rsid w:val="00A374AE"/>
    <w:rsid w:val="00A43428"/>
    <w:rsid w:val="00A4351C"/>
    <w:rsid w:val="00A506C2"/>
    <w:rsid w:val="00A51C1F"/>
    <w:rsid w:val="00A5329E"/>
    <w:rsid w:val="00A57D67"/>
    <w:rsid w:val="00A62C48"/>
    <w:rsid w:val="00A715C0"/>
    <w:rsid w:val="00A73976"/>
    <w:rsid w:val="00A73E01"/>
    <w:rsid w:val="00A82CAE"/>
    <w:rsid w:val="00A84C80"/>
    <w:rsid w:val="00A85168"/>
    <w:rsid w:val="00A90B1F"/>
    <w:rsid w:val="00A91AC0"/>
    <w:rsid w:val="00A92D11"/>
    <w:rsid w:val="00A96318"/>
    <w:rsid w:val="00A97E33"/>
    <w:rsid w:val="00AA1FA1"/>
    <w:rsid w:val="00AA2F23"/>
    <w:rsid w:val="00AA318F"/>
    <w:rsid w:val="00AA40DD"/>
    <w:rsid w:val="00AA43AD"/>
    <w:rsid w:val="00AB0F1B"/>
    <w:rsid w:val="00AB142D"/>
    <w:rsid w:val="00AB42E1"/>
    <w:rsid w:val="00AB52B5"/>
    <w:rsid w:val="00AB60B8"/>
    <w:rsid w:val="00AC36A4"/>
    <w:rsid w:val="00AC4735"/>
    <w:rsid w:val="00AD2C34"/>
    <w:rsid w:val="00AE18EA"/>
    <w:rsid w:val="00AE1A5E"/>
    <w:rsid w:val="00AE281E"/>
    <w:rsid w:val="00AF0C6C"/>
    <w:rsid w:val="00AF2415"/>
    <w:rsid w:val="00B0295C"/>
    <w:rsid w:val="00B062BE"/>
    <w:rsid w:val="00B06826"/>
    <w:rsid w:val="00B13740"/>
    <w:rsid w:val="00B13D88"/>
    <w:rsid w:val="00B15A26"/>
    <w:rsid w:val="00B2132B"/>
    <w:rsid w:val="00B22C1E"/>
    <w:rsid w:val="00B36EBB"/>
    <w:rsid w:val="00B42027"/>
    <w:rsid w:val="00B4308A"/>
    <w:rsid w:val="00B56494"/>
    <w:rsid w:val="00B63B39"/>
    <w:rsid w:val="00B63D80"/>
    <w:rsid w:val="00B67E5F"/>
    <w:rsid w:val="00B75844"/>
    <w:rsid w:val="00B76B41"/>
    <w:rsid w:val="00B80316"/>
    <w:rsid w:val="00B8196D"/>
    <w:rsid w:val="00B822DA"/>
    <w:rsid w:val="00B91374"/>
    <w:rsid w:val="00B92162"/>
    <w:rsid w:val="00B95D9A"/>
    <w:rsid w:val="00BA1022"/>
    <w:rsid w:val="00BB0A63"/>
    <w:rsid w:val="00BB3D3B"/>
    <w:rsid w:val="00BC05B3"/>
    <w:rsid w:val="00BC482E"/>
    <w:rsid w:val="00BC6933"/>
    <w:rsid w:val="00BC7019"/>
    <w:rsid w:val="00BC7E38"/>
    <w:rsid w:val="00BD0A91"/>
    <w:rsid w:val="00BD45A8"/>
    <w:rsid w:val="00BD6387"/>
    <w:rsid w:val="00BD766A"/>
    <w:rsid w:val="00BD7BB5"/>
    <w:rsid w:val="00BE0AE9"/>
    <w:rsid w:val="00BE6658"/>
    <w:rsid w:val="00BE6BD3"/>
    <w:rsid w:val="00BF4C2D"/>
    <w:rsid w:val="00BF5BD9"/>
    <w:rsid w:val="00BF7F93"/>
    <w:rsid w:val="00C0161F"/>
    <w:rsid w:val="00C036DB"/>
    <w:rsid w:val="00C15917"/>
    <w:rsid w:val="00C17FB3"/>
    <w:rsid w:val="00C278FB"/>
    <w:rsid w:val="00C30E68"/>
    <w:rsid w:val="00C310A3"/>
    <w:rsid w:val="00C3180C"/>
    <w:rsid w:val="00C3225B"/>
    <w:rsid w:val="00C36F29"/>
    <w:rsid w:val="00C501C6"/>
    <w:rsid w:val="00C506A6"/>
    <w:rsid w:val="00C549E3"/>
    <w:rsid w:val="00C71F9E"/>
    <w:rsid w:val="00C7438E"/>
    <w:rsid w:val="00C8158B"/>
    <w:rsid w:val="00C81F94"/>
    <w:rsid w:val="00C87BC8"/>
    <w:rsid w:val="00C90A88"/>
    <w:rsid w:val="00C93ED3"/>
    <w:rsid w:val="00C94FC2"/>
    <w:rsid w:val="00CA1AC1"/>
    <w:rsid w:val="00CA262D"/>
    <w:rsid w:val="00CA3922"/>
    <w:rsid w:val="00CA3CFE"/>
    <w:rsid w:val="00CA3F9F"/>
    <w:rsid w:val="00CA77F3"/>
    <w:rsid w:val="00CB5D44"/>
    <w:rsid w:val="00CB6E69"/>
    <w:rsid w:val="00CC1354"/>
    <w:rsid w:val="00CC34BC"/>
    <w:rsid w:val="00CD155B"/>
    <w:rsid w:val="00CD439E"/>
    <w:rsid w:val="00CE4252"/>
    <w:rsid w:val="00CE5469"/>
    <w:rsid w:val="00CE6524"/>
    <w:rsid w:val="00CE6D76"/>
    <w:rsid w:val="00CF0B61"/>
    <w:rsid w:val="00CF1962"/>
    <w:rsid w:val="00CF60A6"/>
    <w:rsid w:val="00D0068E"/>
    <w:rsid w:val="00D01F83"/>
    <w:rsid w:val="00D0408E"/>
    <w:rsid w:val="00D112BB"/>
    <w:rsid w:val="00D1283C"/>
    <w:rsid w:val="00D1496A"/>
    <w:rsid w:val="00D14D8D"/>
    <w:rsid w:val="00D1611A"/>
    <w:rsid w:val="00D20855"/>
    <w:rsid w:val="00D25503"/>
    <w:rsid w:val="00D26B6C"/>
    <w:rsid w:val="00D34A04"/>
    <w:rsid w:val="00D352EC"/>
    <w:rsid w:val="00D468D1"/>
    <w:rsid w:val="00D514C2"/>
    <w:rsid w:val="00D53CD1"/>
    <w:rsid w:val="00D62E49"/>
    <w:rsid w:val="00D64785"/>
    <w:rsid w:val="00D67231"/>
    <w:rsid w:val="00D67388"/>
    <w:rsid w:val="00D70553"/>
    <w:rsid w:val="00D74678"/>
    <w:rsid w:val="00D7486B"/>
    <w:rsid w:val="00D77466"/>
    <w:rsid w:val="00D82466"/>
    <w:rsid w:val="00D83A3F"/>
    <w:rsid w:val="00D90327"/>
    <w:rsid w:val="00D91CA8"/>
    <w:rsid w:val="00D968EC"/>
    <w:rsid w:val="00DB0BC4"/>
    <w:rsid w:val="00DB25B4"/>
    <w:rsid w:val="00DC1104"/>
    <w:rsid w:val="00DC1585"/>
    <w:rsid w:val="00DC3398"/>
    <w:rsid w:val="00DC3A01"/>
    <w:rsid w:val="00DC4437"/>
    <w:rsid w:val="00DC678F"/>
    <w:rsid w:val="00DD29C5"/>
    <w:rsid w:val="00DE028F"/>
    <w:rsid w:val="00DE34E6"/>
    <w:rsid w:val="00DF2EA9"/>
    <w:rsid w:val="00E01FF2"/>
    <w:rsid w:val="00E072F2"/>
    <w:rsid w:val="00E12E91"/>
    <w:rsid w:val="00E13380"/>
    <w:rsid w:val="00E14203"/>
    <w:rsid w:val="00E151CF"/>
    <w:rsid w:val="00E16C39"/>
    <w:rsid w:val="00E232BE"/>
    <w:rsid w:val="00E34CFD"/>
    <w:rsid w:val="00E37455"/>
    <w:rsid w:val="00E40083"/>
    <w:rsid w:val="00E410B0"/>
    <w:rsid w:val="00E42134"/>
    <w:rsid w:val="00E44153"/>
    <w:rsid w:val="00E44667"/>
    <w:rsid w:val="00E46FEA"/>
    <w:rsid w:val="00E47768"/>
    <w:rsid w:val="00E54B56"/>
    <w:rsid w:val="00E56967"/>
    <w:rsid w:val="00E60926"/>
    <w:rsid w:val="00E63746"/>
    <w:rsid w:val="00E64787"/>
    <w:rsid w:val="00E654B7"/>
    <w:rsid w:val="00E66B93"/>
    <w:rsid w:val="00E84653"/>
    <w:rsid w:val="00E869F8"/>
    <w:rsid w:val="00E922BE"/>
    <w:rsid w:val="00E96A94"/>
    <w:rsid w:val="00E97FCD"/>
    <w:rsid w:val="00EA1082"/>
    <w:rsid w:val="00EA7E0E"/>
    <w:rsid w:val="00EB2670"/>
    <w:rsid w:val="00EB63DA"/>
    <w:rsid w:val="00EC7086"/>
    <w:rsid w:val="00EC7AEF"/>
    <w:rsid w:val="00ED3D3D"/>
    <w:rsid w:val="00ED3D8C"/>
    <w:rsid w:val="00ED3F0E"/>
    <w:rsid w:val="00ED4542"/>
    <w:rsid w:val="00ED5B3A"/>
    <w:rsid w:val="00ED7430"/>
    <w:rsid w:val="00EE2E89"/>
    <w:rsid w:val="00EF03F3"/>
    <w:rsid w:val="00EF510B"/>
    <w:rsid w:val="00EF5AC7"/>
    <w:rsid w:val="00F00F37"/>
    <w:rsid w:val="00F0321E"/>
    <w:rsid w:val="00F079E6"/>
    <w:rsid w:val="00F117FF"/>
    <w:rsid w:val="00F268D6"/>
    <w:rsid w:val="00F269B2"/>
    <w:rsid w:val="00F31A71"/>
    <w:rsid w:val="00F35913"/>
    <w:rsid w:val="00F413D1"/>
    <w:rsid w:val="00F42447"/>
    <w:rsid w:val="00F43F2E"/>
    <w:rsid w:val="00F47017"/>
    <w:rsid w:val="00F53DEA"/>
    <w:rsid w:val="00F548BE"/>
    <w:rsid w:val="00F60F51"/>
    <w:rsid w:val="00F6596D"/>
    <w:rsid w:val="00F770D2"/>
    <w:rsid w:val="00F811B1"/>
    <w:rsid w:val="00F82483"/>
    <w:rsid w:val="00F87C36"/>
    <w:rsid w:val="00F912CC"/>
    <w:rsid w:val="00F919CC"/>
    <w:rsid w:val="00F92046"/>
    <w:rsid w:val="00F93915"/>
    <w:rsid w:val="00F93C91"/>
    <w:rsid w:val="00FA2855"/>
    <w:rsid w:val="00FA67C3"/>
    <w:rsid w:val="00FA6823"/>
    <w:rsid w:val="00FA741F"/>
    <w:rsid w:val="00FB4660"/>
    <w:rsid w:val="00FB6058"/>
    <w:rsid w:val="00FB720F"/>
    <w:rsid w:val="00FC267E"/>
    <w:rsid w:val="00FC4031"/>
    <w:rsid w:val="00FC4F82"/>
    <w:rsid w:val="00FD2AFC"/>
    <w:rsid w:val="00FD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79AA3"/>
  <w15:docId w15:val="{FEA3DA4B-A580-46F4-B807-96A37481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29CB"/>
    <w:rPr>
      <w:color w:val="605E5C"/>
      <w:shd w:val="clear" w:color="auto" w:fill="E1DFDD"/>
    </w:rPr>
  </w:style>
  <w:style w:type="character" w:styleId="Strong">
    <w:name w:val="Strong"/>
    <w:basedOn w:val="DefaultParagraphFont"/>
    <w:uiPriority w:val="22"/>
    <w:qFormat/>
    <w:rsid w:val="00A62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9383">
      <w:bodyDiv w:val="1"/>
      <w:marLeft w:val="0"/>
      <w:marRight w:val="0"/>
      <w:marTop w:val="0"/>
      <w:marBottom w:val="0"/>
      <w:divBdr>
        <w:top w:val="none" w:sz="0" w:space="0" w:color="auto"/>
        <w:left w:val="none" w:sz="0" w:space="0" w:color="auto"/>
        <w:bottom w:val="none" w:sz="0" w:space="0" w:color="auto"/>
        <w:right w:val="none" w:sz="0" w:space="0" w:color="auto"/>
      </w:divBdr>
    </w:div>
    <w:div w:id="177937329">
      <w:bodyDiv w:val="1"/>
      <w:marLeft w:val="0"/>
      <w:marRight w:val="0"/>
      <w:marTop w:val="0"/>
      <w:marBottom w:val="0"/>
      <w:divBdr>
        <w:top w:val="none" w:sz="0" w:space="0" w:color="auto"/>
        <w:left w:val="none" w:sz="0" w:space="0" w:color="auto"/>
        <w:bottom w:val="none" w:sz="0" w:space="0" w:color="auto"/>
        <w:right w:val="none" w:sz="0" w:space="0" w:color="auto"/>
      </w:divBdr>
    </w:div>
    <w:div w:id="248657787">
      <w:bodyDiv w:val="1"/>
      <w:marLeft w:val="0"/>
      <w:marRight w:val="0"/>
      <w:marTop w:val="0"/>
      <w:marBottom w:val="0"/>
      <w:divBdr>
        <w:top w:val="none" w:sz="0" w:space="0" w:color="auto"/>
        <w:left w:val="none" w:sz="0" w:space="0" w:color="auto"/>
        <w:bottom w:val="none" w:sz="0" w:space="0" w:color="auto"/>
        <w:right w:val="none" w:sz="0" w:space="0" w:color="auto"/>
      </w:divBdr>
      <w:divsChild>
        <w:div w:id="1336300340">
          <w:marLeft w:val="446"/>
          <w:marRight w:val="0"/>
          <w:marTop w:val="0"/>
          <w:marBottom w:val="0"/>
          <w:divBdr>
            <w:top w:val="none" w:sz="0" w:space="0" w:color="auto"/>
            <w:left w:val="none" w:sz="0" w:space="0" w:color="auto"/>
            <w:bottom w:val="none" w:sz="0" w:space="0" w:color="auto"/>
            <w:right w:val="none" w:sz="0" w:space="0" w:color="auto"/>
          </w:divBdr>
        </w:div>
        <w:div w:id="2109042617">
          <w:marLeft w:val="446"/>
          <w:marRight w:val="0"/>
          <w:marTop w:val="0"/>
          <w:marBottom w:val="0"/>
          <w:divBdr>
            <w:top w:val="none" w:sz="0" w:space="0" w:color="auto"/>
            <w:left w:val="none" w:sz="0" w:space="0" w:color="auto"/>
            <w:bottom w:val="none" w:sz="0" w:space="0" w:color="auto"/>
            <w:right w:val="none" w:sz="0" w:space="0" w:color="auto"/>
          </w:divBdr>
        </w:div>
        <w:div w:id="138696451">
          <w:marLeft w:val="446"/>
          <w:marRight w:val="0"/>
          <w:marTop w:val="0"/>
          <w:marBottom w:val="0"/>
          <w:divBdr>
            <w:top w:val="none" w:sz="0" w:space="0" w:color="auto"/>
            <w:left w:val="none" w:sz="0" w:space="0" w:color="auto"/>
            <w:bottom w:val="none" w:sz="0" w:space="0" w:color="auto"/>
            <w:right w:val="none" w:sz="0" w:space="0" w:color="auto"/>
          </w:divBdr>
        </w:div>
        <w:div w:id="2004435128">
          <w:marLeft w:val="446"/>
          <w:marRight w:val="0"/>
          <w:marTop w:val="0"/>
          <w:marBottom w:val="0"/>
          <w:divBdr>
            <w:top w:val="none" w:sz="0" w:space="0" w:color="auto"/>
            <w:left w:val="none" w:sz="0" w:space="0" w:color="auto"/>
            <w:bottom w:val="none" w:sz="0" w:space="0" w:color="auto"/>
            <w:right w:val="none" w:sz="0" w:space="0" w:color="auto"/>
          </w:divBdr>
        </w:div>
        <w:div w:id="1690594867">
          <w:marLeft w:val="446"/>
          <w:marRight w:val="0"/>
          <w:marTop w:val="0"/>
          <w:marBottom w:val="0"/>
          <w:divBdr>
            <w:top w:val="none" w:sz="0" w:space="0" w:color="auto"/>
            <w:left w:val="none" w:sz="0" w:space="0" w:color="auto"/>
            <w:bottom w:val="none" w:sz="0" w:space="0" w:color="auto"/>
            <w:right w:val="none" w:sz="0" w:space="0" w:color="auto"/>
          </w:divBdr>
        </w:div>
        <w:div w:id="2138911145">
          <w:marLeft w:val="446"/>
          <w:marRight w:val="0"/>
          <w:marTop w:val="0"/>
          <w:marBottom w:val="0"/>
          <w:divBdr>
            <w:top w:val="none" w:sz="0" w:space="0" w:color="auto"/>
            <w:left w:val="none" w:sz="0" w:space="0" w:color="auto"/>
            <w:bottom w:val="none" w:sz="0" w:space="0" w:color="auto"/>
            <w:right w:val="none" w:sz="0" w:space="0" w:color="auto"/>
          </w:divBdr>
        </w:div>
        <w:div w:id="1594167201">
          <w:marLeft w:val="446"/>
          <w:marRight w:val="0"/>
          <w:marTop w:val="0"/>
          <w:marBottom w:val="0"/>
          <w:divBdr>
            <w:top w:val="none" w:sz="0" w:space="0" w:color="auto"/>
            <w:left w:val="none" w:sz="0" w:space="0" w:color="auto"/>
            <w:bottom w:val="none" w:sz="0" w:space="0" w:color="auto"/>
            <w:right w:val="none" w:sz="0" w:space="0" w:color="auto"/>
          </w:divBdr>
        </w:div>
        <w:div w:id="1617101879">
          <w:marLeft w:val="446"/>
          <w:marRight w:val="0"/>
          <w:marTop w:val="0"/>
          <w:marBottom w:val="0"/>
          <w:divBdr>
            <w:top w:val="none" w:sz="0" w:space="0" w:color="auto"/>
            <w:left w:val="none" w:sz="0" w:space="0" w:color="auto"/>
            <w:bottom w:val="none" w:sz="0" w:space="0" w:color="auto"/>
            <w:right w:val="none" w:sz="0" w:space="0" w:color="auto"/>
          </w:divBdr>
        </w:div>
        <w:div w:id="1771269108">
          <w:marLeft w:val="446"/>
          <w:marRight w:val="0"/>
          <w:marTop w:val="0"/>
          <w:marBottom w:val="0"/>
          <w:divBdr>
            <w:top w:val="none" w:sz="0" w:space="0" w:color="auto"/>
            <w:left w:val="none" w:sz="0" w:space="0" w:color="auto"/>
            <w:bottom w:val="none" w:sz="0" w:space="0" w:color="auto"/>
            <w:right w:val="none" w:sz="0" w:space="0" w:color="auto"/>
          </w:divBdr>
        </w:div>
        <w:div w:id="1839298896">
          <w:marLeft w:val="446"/>
          <w:marRight w:val="0"/>
          <w:marTop w:val="0"/>
          <w:marBottom w:val="0"/>
          <w:divBdr>
            <w:top w:val="none" w:sz="0" w:space="0" w:color="auto"/>
            <w:left w:val="none" w:sz="0" w:space="0" w:color="auto"/>
            <w:bottom w:val="none" w:sz="0" w:space="0" w:color="auto"/>
            <w:right w:val="none" w:sz="0" w:space="0" w:color="auto"/>
          </w:divBdr>
        </w:div>
        <w:div w:id="931620170">
          <w:marLeft w:val="446"/>
          <w:marRight w:val="0"/>
          <w:marTop w:val="0"/>
          <w:marBottom w:val="0"/>
          <w:divBdr>
            <w:top w:val="none" w:sz="0" w:space="0" w:color="auto"/>
            <w:left w:val="none" w:sz="0" w:space="0" w:color="auto"/>
            <w:bottom w:val="none" w:sz="0" w:space="0" w:color="auto"/>
            <w:right w:val="none" w:sz="0" w:space="0" w:color="auto"/>
          </w:divBdr>
        </w:div>
        <w:div w:id="2056078100">
          <w:marLeft w:val="446"/>
          <w:marRight w:val="0"/>
          <w:marTop w:val="0"/>
          <w:marBottom w:val="0"/>
          <w:divBdr>
            <w:top w:val="none" w:sz="0" w:space="0" w:color="auto"/>
            <w:left w:val="none" w:sz="0" w:space="0" w:color="auto"/>
            <w:bottom w:val="none" w:sz="0" w:space="0" w:color="auto"/>
            <w:right w:val="none" w:sz="0" w:space="0" w:color="auto"/>
          </w:divBdr>
        </w:div>
        <w:div w:id="1528982402">
          <w:marLeft w:val="446"/>
          <w:marRight w:val="0"/>
          <w:marTop w:val="0"/>
          <w:marBottom w:val="0"/>
          <w:divBdr>
            <w:top w:val="none" w:sz="0" w:space="0" w:color="auto"/>
            <w:left w:val="none" w:sz="0" w:space="0" w:color="auto"/>
            <w:bottom w:val="none" w:sz="0" w:space="0" w:color="auto"/>
            <w:right w:val="none" w:sz="0" w:space="0" w:color="auto"/>
          </w:divBdr>
        </w:div>
        <w:div w:id="1637949027">
          <w:marLeft w:val="446"/>
          <w:marRight w:val="0"/>
          <w:marTop w:val="0"/>
          <w:marBottom w:val="0"/>
          <w:divBdr>
            <w:top w:val="none" w:sz="0" w:space="0" w:color="auto"/>
            <w:left w:val="none" w:sz="0" w:space="0" w:color="auto"/>
            <w:bottom w:val="none" w:sz="0" w:space="0" w:color="auto"/>
            <w:right w:val="none" w:sz="0" w:space="0" w:color="auto"/>
          </w:divBdr>
        </w:div>
        <w:div w:id="406076762">
          <w:marLeft w:val="446"/>
          <w:marRight w:val="0"/>
          <w:marTop w:val="0"/>
          <w:marBottom w:val="0"/>
          <w:divBdr>
            <w:top w:val="none" w:sz="0" w:space="0" w:color="auto"/>
            <w:left w:val="none" w:sz="0" w:space="0" w:color="auto"/>
            <w:bottom w:val="none" w:sz="0" w:space="0" w:color="auto"/>
            <w:right w:val="none" w:sz="0" w:space="0" w:color="auto"/>
          </w:divBdr>
        </w:div>
        <w:div w:id="467549697">
          <w:marLeft w:val="446"/>
          <w:marRight w:val="0"/>
          <w:marTop w:val="0"/>
          <w:marBottom w:val="0"/>
          <w:divBdr>
            <w:top w:val="none" w:sz="0" w:space="0" w:color="auto"/>
            <w:left w:val="none" w:sz="0" w:space="0" w:color="auto"/>
            <w:bottom w:val="none" w:sz="0" w:space="0" w:color="auto"/>
            <w:right w:val="none" w:sz="0" w:space="0" w:color="auto"/>
          </w:divBdr>
        </w:div>
        <w:div w:id="1352414132">
          <w:marLeft w:val="446"/>
          <w:marRight w:val="0"/>
          <w:marTop w:val="0"/>
          <w:marBottom w:val="0"/>
          <w:divBdr>
            <w:top w:val="none" w:sz="0" w:space="0" w:color="auto"/>
            <w:left w:val="none" w:sz="0" w:space="0" w:color="auto"/>
            <w:bottom w:val="none" w:sz="0" w:space="0" w:color="auto"/>
            <w:right w:val="none" w:sz="0" w:space="0" w:color="auto"/>
          </w:divBdr>
        </w:div>
      </w:divsChild>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418605219">
      <w:bodyDiv w:val="1"/>
      <w:marLeft w:val="0"/>
      <w:marRight w:val="0"/>
      <w:marTop w:val="0"/>
      <w:marBottom w:val="0"/>
      <w:divBdr>
        <w:top w:val="none" w:sz="0" w:space="0" w:color="auto"/>
        <w:left w:val="none" w:sz="0" w:space="0" w:color="auto"/>
        <w:bottom w:val="none" w:sz="0" w:space="0" w:color="auto"/>
        <w:right w:val="none" w:sz="0" w:space="0" w:color="auto"/>
      </w:divBdr>
    </w:div>
    <w:div w:id="552616359">
      <w:bodyDiv w:val="1"/>
      <w:marLeft w:val="0"/>
      <w:marRight w:val="0"/>
      <w:marTop w:val="0"/>
      <w:marBottom w:val="0"/>
      <w:divBdr>
        <w:top w:val="none" w:sz="0" w:space="0" w:color="auto"/>
        <w:left w:val="none" w:sz="0" w:space="0" w:color="auto"/>
        <w:bottom w:val="none" w:sz="0" w:space="0" w:color="auto"/>
        <w:right w:val="none" w:sz="0" w:space="0" w:color="auto"/>
      </w:divBdr>
    </w:div>
    <w:div w:id="716009230">
      <w:bodyDiv w:val="1"/>
      <w:marLeft w:val="0"/>
      <w:marRight w:val="0"/>
      <w:marTop w:val="0"/>
      <w:marBottom w:val="0"/>
      <w:divBdr>
        <w:top w:val="none" w:sz="0" w:space="0" w:color="auto"/>
        <w:left w:val="none" w:sz="0" w:space="0" w:color="auto"/>
        <w:bottom w:val="none" w:sz="0" w:space="0" w:color="auto"/>
        <w:right w:val="none" w:sz="0" w:space="0" w:color="auto"/>
      </w:divBdr>
    </w:div>
    <w:div w:id="827136643">
      <w:bodyDiv w:val="1"/>
      <w:marLeft w:val="0"/>
      <w:marRight w:val="0"/>
      <w:marTop w:val="0"/>
      <w:marBottom w:val="0"/>
      <w:divBdr>
        <w:top w:val="none" w:sz="0" w:space="0" w:color="auto"/>
        <w:left w:val="none" w:sz="0" w:space="0" w:color="auto"/>
        <w:bottom w:val="none" w:sz="0" w:space="0" w:color="auto"/>
        <w:right w:val="none" w:sz="0" w:space="0" w:color="auto"/>
      </w:divBdr>
    </w:div>
    <w:div w:id="844323575">
      <w:bodyDiv w:val="1"/>
      <w:marLeft w:val="0"/>
      <w:marRight w:val="0"/>
      <w:marTop w:val="0"/>
      <w:marBottom w:val="0"/>
      <w:divBdr>
        <w:top w:val="none" w:sz="0" w:space="0" w:color="auto"/>
        <w:left w:val="none" w:sz="0" w:space="0" w:color="auto"/>
        <w:bottom w:val="none" w:sz="0" w:space="0" w:color="auto"/>
        <w:right w:val="none" w:sz="0" w:space="0" w:color="auto"/>
      </w:divBdr>
    </w:div>
    <w:div w:id="1155683049">
      <w:bodyDiv w:val="1"/>
      <w:marLeft w:val="0"/>
      <w:marRight w:val="0"/>
      <w:marTop w:val="0"/>
      <w:marBottom w:val="0"/>
      <w:divBdr>
        <w:top w:val="none" w:sz="0" w:space="0" w:color="auto"/>
        <w:left w:val="none" w:sz="0" w:space="0" w:color="auto"/>
        <w:bottom w:val="none" w:sz="0" w:space="0" w:color="auto"/>
        <w:right w:val="none" w:sz="0" w:space="0" w:color="auto"/>
      </w:divBdr>
    </w:div>
    <w:div w:id="1281035782">
      <w:bodyDiv w:val="1"/>
      <w:marLeft w:val="0"/>
      <w:marRight w:val="0"/>
      <w:marTop w:val="0"/>
      <w:marBottom w:val="0"/>
      <w:divBdr>
        <w:top w:val="none" w:sz="0" w:space="0" w:color="auto"/>
        <w:left w:val="none" w:sz="0" w:space="0" w:color="auto"/>
        <w:bottom w:val="none" w:sz="0" w:space="0" w:color="auto"/>
        <w:right w:val="none" w:sz="0" w:space="0" w:color="auto"/>
      </w:divBdr>
    </w:div>
    <w:div w:id="1718702116">
      <w:bodyDiv w:val="1"/>
      <w:marLeft w:val="0"/>
      <w:marRight w:val="0"/>
      <w:marTop w:val="0"/>
      <w:marBottom w:val="0"/>
      <w:divBdr>
        <w:top w:val="none" w:sz="0" w:space="0" w:color="auto"/>
        <w:left w:val="none" w:sz="0" w:space="0" w:color="auto"/>
        <w:bottom w:val="none" w:sz="0" w:space="0" w:color="auto"/>
        <w:right w:val="none" w:sz="0" w:space="0" w:color="auto"/>
      </w:divBdr>
      <w:divsChild>
        <w:div w:id="2142843744">
          <w:marLeft w:val="547"/>
          <w:marRight w:val="0"/>
          <w:marTop w:val="53"/>
          <w:marBottom w:val="0"/>
          <w:divBdr>
            <w:top w:val="none" w:sz="0" w:space="0" w:color="auto"/>
            <w:left w:val="none" w:sz="0" w:space="0" w:color="auto"/>
            <w:bottom w:val="none" w:sz="0" w:space="0" w:color="auto"/>
            <w:right w:val="none" w:sz="0" w:space="0" w:color="auto"/>
          </w:divBdr>
        </w:div>
        <w:div w:id="1559588530">
          <w:marLeft w:val="547"/>
          <w:marRight w:val="0"/>
          <w:marTop w:val="53"/>
          <w:marBottom w:val="0"/>
          <w:divBdr>
            <w:top w:val="none" w:sz="0" w:space="0" w:color="auto"/>
            <w:left w:val="none" w:sz="0" w:space="0" w:color="auto"/>
            <w:bottom w:val="none" w:sz="0" w:space="0" w:color="auto"/>
            <w:right w:val="none" w:sz="0" w:space="0" w:color="auto"/>
          </w:divBdr>
        </w:div>
        <w:div w:id="1832525481">
          <w:marLeft w:val="1166"/>
          <w:marRight w:val="0"/>
          <w:marTop w:val="48"/>
          <w:marBottom w:val="0"/>
          <w:divBdr>
            <w:top w:val="none" w:sz="0" w:space="0" w:color="auto"/>
            <w:left w:val="none" w:sz="0" w:space="0" w:color="auto"/>
            <w:bottom w:val="none" w:sz="0" w:space="0" w:color="auto"/>
            <w:right w:val="none" w:sz="0" w:space="0" w:color="auto"/>
          </w:divBdr>
        </w:div>
        <w:div w:id="1426072538">
          <w:marLeft w:val="1166"/>
          <w:marRight w:val="0"/>
          <w:marTop w:val="48"/>
          <w:marBottom w:val="0"/>
          <w:divBdr>
            <w:top w:val="none" w:sz="0" w:space="0" w:color="auto"/>
            <w:left w:val="none" w:sz="0" w:space="0" w:color="auto"/>
            <w:bottom w:val="none" w:sz="0" w:space="0" w:color="auto"/>
            <w:right w:val="none" w:sz="0" w:space="0" w:color="auto"/>
          </w:divBdr>
        </w:div>
        <w:div w:id="77406926">
          <w:marLeft w:val="1166"/>
          <w:marRight w:val="0"/>
          <w:marTop w:val="48"/>
          <w:marBottom w:val="0"/>
          <w:divBdr>
            <w:top w:val="none" w:sz="0" w:space="0" w:color="auto"/>
            <w:left w:val="none" w:sz="0" w:space="0" w:color="auto"/>
            <w:bottom w:val="none" w:sz="0" w:space="0" w:color="auto"/>
            <w:right w:val="none" w:sz="0" w:space="0" w:color="auto"/>
          </w:divBdr>
        </w:div>
        <w:div w:id="2128797">
          <w:marLeft w:val="547"/>
          <w:marRight w:val="0"/>
          <w:marTop w:val="53"/>
          <w:marBottom w:val="0"/>
          <w:divBdr>
            <w:top w:val="none" w:sz="0" w:space="0" w:color="auto"/>
            <w:left w:val="none" w:sz="0" w:space="0" w:color="auto"/>
            <w:bottom w:val="none" w:sz="0" w:space="0" w:color="auto"/>
            <w:right w:val="none" w:sz="0" w:space="0" w:color="auto"/>
          </w:divBdr>
        </w:div>
        <w:div w:id="1596398456">
          <w:marLeft w:val="547"/>
          <w:marRight w:val="0"/>
          <w:marTop w:val="53"/>
          <w:marBottom w:val="0"/>
          <w:divBdr>
            <w:top w:val="none" w:sz="0" w:space="0" w:color="auto"/>
            <w:left w:val="none" w:sz="0" w:space="0" w:color="auto"/>
            <w:bottom w:val="none" w:sz="0" w:space="0" w:color="auto"/>
            <w:right w:val="none" w:sz="0" w:space="0" w:color="auto"/>
          </w:divBdr>
        </w:div>
        <w:div w:id="403727926">
          <w:marLeft w:val="1166"/>
          <w:marRight w:val="0"/>
          <w:marTop w:val="43"/>
          <w:marBottom w:val="0"/>
          <w:divBdr>
            <w:top w:val="none" w:sz="0" w:space="0" w:color="auto"/>
            <w:left w:val="none" w:sz="0" w:space="0" w:color="auto"/>
            <w:bottom w:val="none" w:sz="0" w:space="0" w:color="auto"/>
            <w:right w:val="none" w:sz="0" w:space="0" w:color="auto"/>
          </w:divBdr>
        </w:div>
        <w:div w:id="517545326">
          <w:marLeft w:val="1166"/>
          <w:marRight w:val="0"/>
          <w:marTop w:val="43"/>
          <w:marBottom w:val="0"/>
          <w:divBdr>
            <w:top w:val="none" w:sz="0" w:space="0" w:color="auto"/>
            <w:left w:val="none" w:sz="0" w:space="0" w:color="auto"/>
            <w:bottom w:val="none" w:sz="0" w:space="0" w:color="auto"/>
            <w:right w:val="none" w:sz="0" w:space="0" w:color="auto"/>
          </w:divBdr>
        </w:div>
        <w:div w:id="1543204524">
          <w:marLeft w:val="1166"/>
          <w:marRight w:val="0"/>
          <w:marTop w:val="43"/>
          <w:marBottom w:val="0"/>
          <w:divBdr>
            <w:top w:val="none" w:sz="0" w:space="0" w:color="auto"/>
            <w:left w:val="none" w:sz="0" w:space="0" w:color="auto"/>
            <w:bottom w:val="none" w:sz="0" w:space="0" w:color="auto"/>
            <w:right w:val="none" w:sz="0" w:space="0" w:color="auto"/>
          </w:divBdr>
        </w:div>
        <w:div w:id="1575356235">
          <w:marLeft w:val="547"/>
          <w:marRight w:val="0"/>
          <w:marTop w:val="53"/>
          <w:marBottom w:val="0"/>
          <w:divBdr>
            <w:top w:val="none" w:sz="0" w:space="0" w:color="auto"/>
            <w:left w:val="none" w:sz="0" w:space="0" w:color="auto"/>
            <w:bottom w:val="none" w:sz="0" w:space="0" w:color="auto"/>
            <w:right w:val="none" w:sz="0" w:space="0" w:color="auto"/>
          </w:divBdr>
        </w:div>
        <w:div w:id="1632054664">
          <w:marLeft w:val="1166"/>
          <w:marRight w:val="0"/>
          <w:marTop w:val="43"/>
          <w:marBottom w:val="0"/>
          <w:divBdr>
            <w:top w:val="none" w:sz="0" w:space="0" w:color="auto"/>
            <w:left w:val="none" w:sz="0" w:space="0" w:color="auto"/>
            <w:bottom w:val="none" w:sz="0" w:space="0" w:color="auto"/>
            <w:right w:val="none" w:sz="0" w:space="0" w:color="auto"/>
          </w:divBdr>
        </w:div>
        <w:div w:id="735319495">
          <w:marLeft w:val="1166"/>
          <w:marRight w:val="0"/>
          <w:marTop w:val="43"/>
          <w:marBottom w:val="0"/>
          <w:divBdr>
            <w:top w:val="none" w:sz="0" w:space="0" w:color="auto"/>
            <w:left w:val="none" w:sz="0" w:space="0" w:color="auto"/>
            <w:bottom w:val="none" w:sz="0" w:space="0" w:color="auto"/>
            <w:right w:val="none" w:sz="0" w:space="0" w:color="auto"/>
          </w:divBdr>
        </w:div>
        <w:div w:id="1168864182">
          <w:marLeft w:val="1166"/>
          <w:marRight w:val="0"/>
          <w:marTop w:val="43"/>
          <w:marBottom w:val="0"/>
          <w:divBdr>
            <w:top w:val="none" w:sz="0" w:space="0" w:color="auto"/>
            <w:left w:val="none" w:sz="0" w:space="0" w:color="auto"/>
            <w:bottom w:val="none" w:sz="0" w:space="0" w:color="auto"/>
            <w:right w:val="none" w:sz="0" w:space="0" w:color="auto"/>
          </w:divBdr>
        </w:div>
        <w:div w:id="428935037">
          <w:marLeft w:val="1166"/>
          <w:marRight w:val="0"/>
          <w:marTop w:val="43"/>
          <w:marBottom w:val="0"/>
          <w:divBdr>
            <w:top w:val="none" w:sz="0" w:space="0" w:color="auto"/>
            <w:left w:val="none" w:sz="0" w:space="0" w:color="auto"/>
            <w:bottom w:val="none" w:sz="0" w:space="0" w:color="auto"/>
            <w:right w:val="none" w:sz="0" w:space="0" w:color="auto"/>
          </w:divBdr>
        </w:div>
        <w:div w:id="1410619255">
          <w:marLeft w:val="547"/>
          <w:marRight w:val="0"/>
          <w:marTop w:val="53"/>
          <w:marBottom w:val="0"/>
          <w:divBdr>
            <w:top w:val="none" w:sz="0" w:space="0" w:color="auto"/>
            <w:left w:val="none" w:sz="0" w:space="0" w:color="auto"/>
            <w:bottom w:val="none" w:sz="0" w:space="0" w:color="auto"/>
            <w:right w:val="none" w:sz="0" w:space="0" w:color="auto"/>
          </w:divBdr>
        </w:div>
        <w:div w:id="997923737">
          <w:marLeft w:val="547"/>
          <w:marRight w:val="0"/>
          <w:marTop w:val="53"/>
          <w:marBottom w:val="0"/>
          <w:divBdr>
            <w:top w:val="none" w:sz="0" w:space="0" w:color="auto"/>
            <w:left w:val="none" w:sz="0" w:space="0" w:color="auto"/>
            <w:bottom w:val="none" w:sz="0" w:space="0" w:color="auto"/>
            <w:right w:val="none" w:sz="0" w:space="0" w:color="auto"/>
          </w:divBdr>
        </w:div>
        <w:div w:id="786852464">
          <w:marLeft w:val="547"/>
          <w:marRight w:val="0"/>
          <w:marTop w:val="53"/>
          <w:marBottom w:val="0"/>
          <w:divBdr>
            <w:top w:val="none" w:sz="0" w:space="0" w:color="auto"/>
            <w:left w:val="none" w:sz="0" w:space="0" w:color="auto"/>
            <w:bottom w:val="none" w:sz="0" w:space="0" w:color="auto"/>
            <w:right w:val="none" w:sz="0" w:space="0" w:color="auto"/>
          </w:divBdr>
        </w:div>
        <w:div w:id="235937326">
          <w:marLeft w:val="547"/>
          <w:marRight w:val="0"/>
          <w:marTop w:val="53"/>
          <w:marBottom w:val="0"/>
          <w:divBdr>
            <w:top w:val="none" w:sz="0" w:space="0" w:color="auto"/>
            <w:left w:val="none" w:sz="0" w:space="0" w:color="auto"/>
            <w:bottom w:val="none" w:sz="0" w:space="0" w:color="auto"/>
            <w:right w:val="none" w:sz="0" w:space="0" w:color="auto"/>
          </w:divBdr>
        </w:div>
        <w:div w:id="1644892479">
          <w:marLeft w:val="1166"/>
          <w:marRight w:val="0"/>
          <w:marTop w:val="48"/>
          <w:marBottom w:val="0"/>
          <w:divBdr>
            <w:top w:val="none" w:sz="0" w:space="0" w:color="auto"/>
            <w:left w:val="none" w:sz="0" w:space="0" w:color="auto"/>
            <w:bottom w:val="none" w:sz="0" w:space="0" w:color="auto"/>
            <w:right w:val="none" w:sz="0" w:space="0" w:color="auto"/>
          </w:divBdr>
        </w:div>
        <w:div w:id="1488589958">
          <w:marLeft w:val="1166"/>
          <w:marRight w:val="0"/>
          <w:marTop w:val="48"/>
          <w:marBottom w:val="0"/>
          <w:divBdr>
            <w:top w:val="none" w:sz="0" w:space="0" w:color="auto"/>
            <w:left w:val="none" w:sz="0" w:space="0" w:color="auto"/>
            <w:bottom w:val="none" w:sz="0" w:space="0" w:color="auto"/>
            <w:right w:val="none" w:sz="0" w:space="0" w:color="auto"/>
          </w:divBdr>
        </w:div>
        <w:div w:id="340162658">
          <w:marLeft w:val="1166"/>
          <w:marRight w:val="0"/>
          <w:marTop w:val="48"/>
          <w:marBottom w:val="0"/>
          <w:divBdr>
            <w:top w:val="none" w:sz="0" w:space="0" w:color="auto"/>
            <w:left w:val="none" w:sz="0" w:space="0" w:color="auto"/>
            <w:bottom w:val="none" w:sz="0" w:space="0" w:color="auto"/>
            <w:right w:val="none" w:sz="0" w:space="0" w:color="auto"/>
          </w:divBdr>
        </w:div>
        <w:div w:id="380835700">
          <w:marLeft w:val="1166"/>
          <w:marRight w:val="0"/>
          <w:marTop w:val="48"/>
          <w:marBottom w:val="0"/>
          <w:divBdr>
            <w:top w:val="none" w:sz="0" w:space="0" w:color="auto"/>
            <w:left w:val="none" w:sz="0" w:space="0" w:color="auto"/>
            <w:bottom w:val="none" w:sz="0" w:space="0" w:color="auto"/>
            <w:right w:val="none" w:sz="0" w:space="0" w:color="auto"/>
          </w:divBdr>
        </w:div>
        <w:div w:id="2069692730">
          <w:marLeft w:val="1166"/>
          <w:marRight w:val="0"/>
          <w:marTop w:val="48"/>
          <w:marBottom w:val="0"/>
          <w:divBdr>
            <w:top w:val="none" w:sz="0" w:space="0" w:color="auto"/>
            <w:left w:val="none" w:sz="0" w:space="0" w:color="auto"/>
            <w:bottom w:val="none" w:sz="0" w:space="0" w:color="auto"/>
            <w:right w:val="none" w:sz="0" w:space="0" w:color="auto"/>
          </w:divBdr>
        </w:div>
        <w:div w:id="284430903">
          <w:marLeft w:val="1166"/>
          <w:marRight w:val="0"/>
          <w:marTop w:val="48"/>
          <w:marBottom w:val="0"/>
          <w:divBdr>
            <w:top w:val="none" w:sz="0" w:space="0" w:color="auto"/>
            <w:left w:val="none" w:sz="0" w:space="0" w:color="auto"/>
            <w:bottom w:val="none" w:sz="0" w:space="0" w:color="auto"/>
            <w:right w:val="none" w:sz="0" w:space="0" w:color="auto"/>
          </w:divBdr>
        </w:div>
        <w:div w:id="352732813">
          <w:marLeft w:val="1166"/>
          <w:marRight w:val="0"/>
          <w:marTop w:val="48"/>
          <w:marBottom w:val="0"/>
          <w:divBdr>
            <w:top w:val="none" w:sz="0" w:space="0" w:color="auto"/>
            <w:left w:val="none" w:sz="0" w:space="0" w:color="auto"/>
            <w:bottom w:val="none" w:sz="0" w:space="0" w:color="auto"/>
            <w:right w:val="none" w:sz="0" w:space="0" w:color="auto"/>
          </w:divBdr>
        </w:div>
        <w:div w:id="844587972">
          <w:marLeft w:val="1166"/>
          <w:marRight w:val="0"/>
          <w:marTop w:val="48"/>
          <w:marBottom w:val="0"/>
          <w:divBdr>
            <w:top w:val="none" w:sz="0" w:space="0" w:color="auto"/>
            <w:left w:val="none" w:sz="0" w:space="0" w:color="auto"/>
            <w:bottom w:val="none" w:sz="0" w:space="0" w:color="auto"/>
            <w:right w:val="none" w:sz="0" w:space="0" w:color="auto"/>
          </w:divBdr>
        </w:div>
        <w:div w:id="1403261206">
          <w:marLeft w:val="1166"/>
          <w:marRight w:val="0"/>
          <w:marTop w:val="48"/>
          <w:marBottom w:val="0"/>
          <w:divBdr>
            <w:top w:val="none" w:sz="0" w:space="0" w:color="auto"/>
            <w:left w:val="none" w:sz="0" w:space="0" w:color="auto"/>
            <w:bottom w:val="none" w:sz="0" w:space="0" w:color="auto"/>
            <w:right w:val="none" w:sz="0" w:space="0" w:color="auto"/>
          </w:divBdr>
        </w:div>
        <w:div w:id="925072348">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blog.shu.ac.uk/apprenticeship-resources/onboarding/employer-commitmen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shu.ac.uk/current-students/student-support/disability-support"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blog.shu.ac.uk/apprenticeship-resources/onboarding/employer-commitmen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google.co.uk/url?sa=i&amp;rct=j&amp;q=&amp;esrc=s&amp;source=images&amp;cd=&amp;cad=rja&amp;uact=8&amp;ved=0ahUKEwj65ZDvubPWAhVKCcAKHRl8Cx8QjRwIBw&amp;url=http://www.skillsandlearningbdp.co.uk/esfa-logo/&amp;psig=AFQjCNGXxA553aEg3ou0gqBwXIS2sonQmQ&amp;ust=1505986186109357" TargetMode="External"/><Relationship Id="rId17" Type="http://schemas.openxmlformats.org/officeDocument/2006/relationships/hyperlink" Target="https://www.shu.ac.uk/digital-skills/linkedin-learning" TargetMode="External"/><Relationship Id="rId25" Type="http://schemas.microsoft.com/office/2016/09/relationships/commentsIds" Target="commentsIds.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bguides.shu.ac.uk/distancelearners/registration" TargetMode="External"/><Relationship Id="rId20" Type="http://schemas.openxmlformats.org/officeDocument/2006/relationships/hyperlink" Target="https://blog.shu.ac.uk/apprenticeship-resources/succeeding-in-your-off-the-job-training/how-will-off-the-job-training-take-place/" TargetMode="External"/><Relationship Id="rId29" Type="http://schemas.openxmlformats.org/officeDocument/2006/relationships/hyperlink" Target="https://blog.shu.ac.uk/apprenticeship-resources/equality-diversity-and-inclus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blogs.shu.ac.uk/skillscentre/" TargetMode="External"/><Relationship Id="rId23" Type="http://schemas.openxmlformats.org/officeDocument/2006/relationships/comments" Target="comments.xml"/><Relationship Id="rId28" Type="http://schemas.openxmlformats.org/officeDocument/2006/relationships/hyperlink" Target="https://sheffieldhallam.sharepoint.com/sites/3043/int/beg/wbl/SitePages/Work-Based-Coach-Area.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blog.shu.ac.uk/apprenticeship-resources/wellbeing-and-support/staying-safe-onlin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log.shu.ac.uk/apprenticeship-resources/onboarding/transitioning-to-higher-education/" TargetMode="External"/><Relationship Id="rId22" Type="http://schemas.openxmlformats.org/officeDocument/2006/relationships/hyperlink" Target="https://blog.shu.ac.uk/apprenticeship-resources/onboarding/employer-commitment/" TargetMode="External"/><Relationship Id="rId27" Type="http://schemas.openxmlformats.org/officeDocument/2006/relationships/hyperlink" Target="https://sheffieldhallam.sharepoint.com/sites/3043/int/beg/wbl/SitePages/Work-Based-Coach-Area.aspx" TargetMode="External"/><Relationship Id="rId30" Type="http://schemas.openxmlformats.org/officeDocument/2006/relationships/header" Target="header1.xm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cid:image002.jpg@01D59BAE.B843BF00"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2019-11-01T00:00:00</PublishDate>
  <Abstract>This refreshed version, February 2020 is a second working version reflecting early implementation of actions identified in the University's Quality Improvement Plan.  This will be reviewed and refined following feedback and through ongoing implementation.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B789A3033655479DE493303F06240A" ma:contentTypeVersion="8" ma:contentTypeDescription="Create a new document." ma:contentTypeScope="" ma:versionID="7c3f8593113cb80a566388fba0de0004">
  <xsd:schema xmlns:xsd="http://www.w3.org/2001/XMLSchema" xmlns:xs="http://www.w3.org/2001/XMLSchema" xmlns:p="http://schemas.microsoft.com/office/2006/metadata/properties" xmlns:ns3="b451fd21-e673-40ba-8b43-f4327122434a" xmlns:ns4="bf047032-4267-432c-98f6-6cbde39bb2fe" targetNamespace="http://schemas.microsoft.com/office/2006/metadata/properties" ma:root="true" ma:fieldsID="0235528362529822073f8c4f566fddb4" ns3:_="" ns4:_="">
    <xsd:import namespace="b451fd21-e673-40ba-8b43-f4327122434a"/>
    <xsd:import namespace="bf047032-4267-432c-98f6-6cbde39bb2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fd21-e673-40ba-8b43-f4327122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47032-4267-432c-98f6-6cbde39bb2f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6A500-6BAB-44C0-B87C-6A97A42475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4DE6A-997E-4404-A9F8-C1E85E5AE029}">
  <ds:schemaRefs>
    <ds:schemaRef ds:uri="http://schemas.microsoft.com/sharepoint/v3/contenttype/forms"/>
  </ds:schemaRefs>
</ds:datastoreItem>
</file>

<file path=customXml/itemProps4.xml><?xml version="1.0" encoding="utf-8"?>
<ds:datastoreItem xmlns:ds="http://schemas.openxmlformats.org/officeDocument/2006/customXml" ds:itemID="{0DAC64EB-58C3-444B-8978-4DAC4FCB1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fd21-e673-40ba-8b43-f4327122434a"/>
    <ds:schemaRef ds:uri="bf047032-4267-432c-98f6-6cbde39bb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59F3F5-EB47-42C6-B6E9-A2EF4939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Apprenticeship Delivery Guide</vt:lpstr>
    </vt:vector>
  </TitlesOfParts>
  <Company>Sheffield Hallam University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Delivery Guide</dc:title>
  <dc:subject>A Handbook for Apprenticeship Course Leaders, Work Based Learning Coaches and the delivery team</dc:subject>
  <dc:creator>FEBRUARY 2020</dc:creator>
  <cp:lastModifiedBy>Moorwood, Sam</cp:lastModifiedBy>
  <cp:revision>4</cp:revision>
  <cp:lastPrinted>2020-02-04T16:07:00Z</cp:lastPrinted>
  <dcterms:created xsi:type="dcterms:W3CDTF">2020-11-11T09:14:00Z</dcterms:created>
  <dcterms:modified xsi:type="dcterms:W3CDTF">2020-11-11T09:42:00Z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0x0101001EB789A3033655479DE493303F06240A</vt:lpwstr>
  </property>
</Properties>
</file>