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C111" w14:textId="77777777" w:rsidR="00CA3922" w:rsidRDefault="00096127" w:rsidP="0000628E">
      <w:pPr>
        <w:rPr>
          <w:b/>
          <w:bCs/>
          <w:szCs w:val="20"/>
        </w:rPr>
      </w:pPr>
      <w:r w:rsidRPr="00B55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29290" wp14:editId="227D862A">
                <wp:simplePos x="0" y="0"/>
                <wp:positionH relativeFrom="column">
                  <wp:posOffset>1424078</wp:posOffset>
                </wp:positionH>
                <wp:positionV relativeFrom="paragraph">
                  <wp:posOffset>-693264</wp:posOffset>
                </wp:positionV>
                <wp:extent cx="3774452" cy="913765"/>
                <wp:effectExtent l="0" t="0" r="0" b="6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52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C9191" w14:textId="0E649EB5" w:rsidR="00296F7E" w:rsidRDefault="00C7438E" w:rsidP="00296F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>Apprentice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ship</w:t>
                            </w: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 xml:space="preserve"> Progress Review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20C958A3" w14:textId="67C95598" w:rsidR="00C7438E" w:rsidRDefault="000948A8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>Equality Diversity and Inclusion</w:t>
                            </w:r>
                          </w:p>
                          <w:p w14:paraId="31E593F8" w14:textId="12BD975E" w:rsidR="00296F7E" w:rsidRPr="007D5159" w:rsidRDefault="00296F7E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>Thematic Annex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29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15pt;margin-top:-54.6pt;width:297.2pt;height:7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" filled="f" stroked="f">
                <v:textbox>
                  <w:txbxContent>
                    <w:p w14:paraId="4BDC9191" w14:textId="0E649EB5" w:rsidR="00296F7E" w:rsidRDefault="00C7438E" w:rsidP="00296F7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E6354B">
                        <w:rPr>
                          <w:b/>
                          <w:i/>
                          <w:sz w:val="32"/>
                        </w:rPr>
                        <w:t>Apprentice</w:t>
                      </w:r>
                      <w:r>
                        <w:rPr>
                          <w:b/>
                          <w:i/>
                          <w:sz w:val="32"/>
                        </w:rPr>
                        <w:t>ship</w:t>
                      </w:r>
                      <w:r w:rsidRPr="00E6354B">
                        <w:rPr>
                          <w:b/>
                          <w:i/>
                          <w:sz w:val="32"/>
                        </w:rPr>
                        <w:t xml:space="preserve"> Progress Review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20C958A3" w14:textId="67C95598" w:rsidR="00C7438E" w:rsidRDefault="000948A8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A31D6A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A31D6A"/>
                          <w:sz w:val="32"/>
                        </w:rPr>
                        <w:t>Equality Diversity and Inclusion</w:t>
                      </w:r>
                    </w:p>
                    <w:p w14:paraId="31E593F8" w14:textId="12BD975E" w:rsidR="00296F7E" w:rsidRPr="007D5159" w:rsidRDefault="00296F7E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A31D6A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A31D6A"/>
                          <w:sz w:val="32"/>
                        </w:rPr>
                        <w:t>Thematic Annex</w:t>
                      </w:r>
                    </w:p>
                  </w:txbxContent>
                </v:textbox>
              </v:shape>
            </w:pict>
          </mc:Fallback>
        </mc:AlternateContent>
      </w:r>
      <w:r w:rsidRPr="00E94116">
        <w:rPr>
          <w:b/>
          <w:bCs/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490C9CE" wp14:editId="019AC7CB">
            <wp:simplePos x="0" y="0"/>
            <wp:positionH relativeFrom="column">
              <wp:posOffset>5638800</wp:posOffset>
            </wp:positionH>
            <wp:positionV relativeFrom="paragraph">
              <wp:posOffset>-871855</wp:posOffset>
            </wp:positionV>
            <wp:extent cx="970280" cy="467995"/>
            <wp:effectExtent l="0" t="0" r="1270" b="8255"/>
            <wp:wrapNone/>
            <wp:docPr id="302" name="irc_mi" descr="Image result for esfa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Image result for esfa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89"/>
        <w:tblW w:w="10740" w:type="dxa"/>
        <w:tblLook w:val="04A0" w:firstRow="1" w:lastRow="0" w:firstColumn="1" w:lastColumn="0" w:noHBand="0" w:noVBand="1"/>
      </w:tblPr>
      <w:tblGrid>
        <w:gridCol w:w="2313"/>
        <w:gridCol w:w="5166"/>
        <w:gridCol w:w="1843"/>
        <w:gridCol w:w="1418"/>
      </w:tblGrid>
      <w:tr w:rsidR="00AD647D" w:rsidRPr="00B555A2" w14:paraId="337D216F" w14:textId="77777777" w:rsidTr="00AD647D">
        <w:trPr>
          <w:trHeight w:val="310"/>
        </w:trPr>
        <w:tc>
          <w:tcPr>
            <w:tcW w:w="2313" w:type="dxa"/>
          </w:tcPr>
          <w:p w14:paraId="104F9039" w14:textId="77777777" w:rsidR="00AD647D" w:rsidRPr="00E94116" w:rsidRDefault="00AD647D" w:rsidP="00AD647D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Apprentice's Name:</w:t>
            </w:r>
          </w:p>
        </w:tc>
        <w:tc>
          <w:tcPr>
            <w:tcW w:w="5166" w:type="dxa"/>
          </w:tcPr>
          <w:p w14:paraId="575C96A6" w14:textId="77777777" w:rsidR="00AD647D" w:rsidRPr="00B555A2" w:rsidRDefault="00AD647D" w:rsidP="00AD647D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60C4423" w14:textId="77777777" w:rsidR="00AD647D" w:rsidRPr="00E94116" w:rsidRDefault="00AD647D" w:rsidP="00AD647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of Review</w:t>
            </w:r>
          </w:p>
        </w:tc>
        <w:tc>
          <w:tcPr>
            <w:tcW w:w="1418" w:type="dxa"/>
          </w:tcPr>
          <w:p w14:paraId="6F9EA06B" w14:textId="77777777" w:rsidR="00AD647D" w:rsidRPr="00E94116" w:rsidRDefault="00AD647D" w:rsidP="00AD647D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4613501C" w14:textId="222CA1F8" w:rsidR="00AD647D" w:rsidRPr="009A3452" w:rsidRDefault="00AD647D" w:rsidP="0000628E"/>
    <w:tbl>
      <w:tblPr>
        <w:tblStyle w:val="TableGrid"/>
        <w:tblpPr w:leftFromText="180" w:rightFromText="180" w:vertAnchor="text" w:horzAnchor="margin" w:tblpY="262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F1962" w:rsidRPr="000031F0" w14:paraId="6EA55B32" w14:textId="77777777" w:rsidTr="00CF1962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CC4A2C7" w14:textId="77777777" w:rsidR="00CF1962" w:rsidRPr="000031F0" w:rsidRDefault="00CF1962" w:rsidP="00096127">
            <w:pPr>
              <w:rPr>
                <w:color w:val="808080" w:themeColor="background1" w:themeShade="80"/>
              </w:rPr>
            </w:pPr>
            <w:r w:rsidRPr="000031F0">
              <w:rPr>
                <w:rFonts w:cs="Arial"/>
                <w:b/>
                <w:bCs/>
                <w:color w:val="000000"/>
              </w:rPr>
              <w:t>Initial Discussion - Learning on Programme</w:t>
            </w:r>
          </w:p>
        </w:tc>
      </w:tr>
      <w:tr w:rsidR="00E42461" w:rsidRPr="000031F0" w14:paraId="146CC5F4" w14:textId="77777777" w:rsidTr="00B9206E">
        <w:trPr>
          <w:trHeight w:val="1628"/>
        </w:trPr>
        <w:tc>
          <w:tcPr>
            <w:tcW w:w="1242" w:type="dxa"/>
          </w:tcPr>
          <w:p w14:paraId="0FEC15FA" w14:textId="77777777" w:rsidR="00E42461" w:rsidRDefault="00E42461" w:rsidP="001814DE">
            <w:pPr>
              <w:rPr>
                <w:color w:val="808080" w:themeColor="background1" w:themeShade="80"/>
              </w:rPr>
            </w:pPr>
          </w:p>
          <w:p w14:paraId="1745F375" w14:textId="4BAF5E82" w:rsidR="00E42461" w:rsidRDefault="00E42461" w:rsidP="001814D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Notes are optional</w:t>
            </w:r>
          </w:p>
          <w:p w14:paraId="58A88220" w14:textId="1F5EA187" w:rsidR="00E42461" w:rsidRPr="000031F0" w:rsidRDefault="00E42461" w:rsidP="001814DE">
            <w:pPr>
              <w:rPr>
                <w:color w:val="808080" w:themeColor="background1" w:themeShade="80"/>
              </w:rPr>
            </w:pPr>
            <w:r>
              <w:rPr>
                <w:bCs/>
                <w:iCs/>
                <w:color w:val="A31D6A"/>
                <w:szCs w:val="16"/>
              </w:rPr>
              <w:t>Action</w:t>
            </w:r>
            <w:r w:rsidRPr="00B4691A">
              <w:rPr>
                <w:bCs/>
                <w:iCs/>
                <w:color w:val="A31D6A"/>
                <w:szCs w:val="16"/>
              </w:rPr>
              <w:t xml:space="preserve"> any concerns</w:t>
            </w:r>
            <w:r w:rsidR="0093083B">
              <w:rPr>
                <w:bCs/>
                <w:iCs/>
                <w:color w:val="A31D6A"/>
                <w:szCs w:val="16"/>
              </w:rPr>
              <w:t xml:space="preserve"> </w:t>
            </w:r>
          </w:p>
        </w:tc>
        <w:tc>
          <w:tcPr>
            <w:tcW w:w="9356" w:type="dxa"/>
          </w:tcPr>
          <w:p w14:paraId="06F29B5C" w14:textId="77777777" w:rsidR="008130AC" w:rsidRDefault="008130AC" w:rsidP="008130AC">
            <w:pPr>
              <w:rPr>
                <w:b/>
                <w:bCs/>
              </w:rPr>
            </w:pPr>
          </w:p>
          <w:p w14:paraId="3B07C61E" w14:textId="27CBDD64" w:rsidR="008130AC" w:rsidRDefault="008130AC" w:rsidP="008130AC">
            <w:r w:rsidRPr="008130AC">
              <w:t>Indicative Question:</w:t>
            </w:r>
          </w:p>
          <w:p w14:paraId="52F91DF8" w14:textId="77777777" w:rsidR="0093083B" w:rsidRPr="008130AC" w:rsidRDefault="0093083B" w:rsidP="008130AC"/>
          <w:p w14:paraId="5394F44B" w14:textId="5B621EC5" w:rsidR="00E42461" w:rsidRPr="009C7BFA" w:rsidRDefault="00744B78" w:rsidP="008130AC">
            <w:pPr>
              <w:rPr>
                <w:rFonts w:cs="Arial"/>
                <w:color w:val="808080" w:themeColor="background1" w:themeShade="80"/>
              </w:rPr>
            </w:pPr>
            <w:r>
              <w:t>In response to</w:t>
            </w:r>
            <w:r w:rsidR="008130AC" w:rsidRPr="008130AC">
              <w:t xml:space="preserve"> </w:t>
            </w:r>
            <w:r w:rsidR="008130AC" w:rsidRPr="00744B78">
              <w:rPr>
                <w:i/>
                <w:iCs/>
              </w:rPr>
              <w:t>induction and the curriculum</w:t>
            </w:r>
            <w:r w:rsidR="008130AC" w:rsidRPr="008130AC">
              <w:t xml:space="preserve"> </w:t>
            </w:r>
            <w:r>
              <w:t>how are you reflecting on the development of an</w:t>
            </w:r>
            <w:r w:rsidRPr="00D827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D827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equality-based attitude, celebrat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ing</w:t>
            </w:r>
            <w:r w:rsidRPr="00D827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D827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diversity</w:t>
            </w:r>
            <w:proofErr w:type="gramEnd"/>
            <w:r w:rsidRPr="00D827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and develop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ing</w:t>
            </w:r>
            <w:r w:rsidRPr="00D827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inclusive practice</w:t>
            </w:r>
            <w:commentRangeStart w:id="0"/>
            <w:r w:rsidR="008130AC" w:rsidRPr="008130AC">
              <w:t>?</w:t>
            </w:r>
            <w:commentRangeEnd w:id="0"/>
            <w:r w:rsidR="008130AC">
              <w:rPr>
                <w:rStyle w:val="CommentReference"/>
                <w:rFonts w:ascii="Arial" w:hAnsi="Arial" w:cs="Arial"/>
              </w:rPr>
              <w:commentReference w:id="0"/>
            </w:r>
          </w:p>
        </w:tc>
      </w:tr>
    </w:tbl>
    <w:p w14:paraId="2F7ABEBD" w14:textId="77777777" w:rsidR="00FA2855" w:rsidRDefault="00FA2855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276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7438E" w:rsidRPr="000031F0" w14:paraId="3B707F20" w14:textId="77777777" w:rsidTr="00C7438E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2F4265D" w14:textId="09EBB99D" w:rsidR="00C7438E" w:rsidRPr="000031F0" w:rsidRDefault="00C7438E" w:rsidP="00C7438E">
            <w:pPr>
              <w:rPr>
                <w:rFonts w:ascii="Calibri" w:hAnsi="Calibri"/>
                <w:color w:val="808080" w:themeColor="background1" w:themeShade="80"/>
              </w:rPr>
            </w:pPr>
            <w:r w:rsidRPr="000031F0">
              <w:rPr>
                <w:rFonts w:ascii="Calibri" w:hAnsi="Calibri"/>
                <w:b/>
              </w:rPr>
              <w:t xml:space="preserve">Further Discussion - Ongoing Reflection </w:t>
            </w:r>
            <w:r w:rsidR="00DE1D5D">
              <w:rPr>
                <w:rFonts w:ascii="Calibri" w:hAnsi="Calibri"/>
                <w:b/>
              </w:rPr>
              <w:t xml:space="preserve">of experience </w:t>
            </w:r>
            <w:r w:rsidR="00B9206E">
              <w:rPr>
                <w:rFonts w:ascii="Calibri" w:hAnsi="Calibri"/>
                <w:b/>
              </w:rPr>
              <w:t xml:space="preserve">and </w:t>
            </w:r>
            <w:r w:rsidRPr="000031F0">
              <w:rPr>
                <w:rFonts w:ascii="Calibri" w:hAnsi="Calibri"/>
                <w:b/>
              </w:rPr>
              <w:t xml:space="preserve">in response to </w:t>
            </w:r>
            <w:commentRangeStart w:id="1"/>
            <w:r w:rsidR="00A5440A">
              <w:fldChar w:fldCharType="begin"/>
            </w:r>
            <w:r w:rsidR="00A5440A">
              <w:instrText xml:space="preserve"> HYPERLINK "https://blog.shu.ac.uk/apprenticeship-resources/equality-diversity-and-inclusion/" </w:instrText>
            </w:r>
            <w:r w:rsidR="00A5440A">
              <w:fldChar w:fldCharType="separate"/>
            </w:r>
            <w:r w:rsidRPr="00D22BFE">
              <w:rPr>
                <w:rStyle w:val="Hyperlink"/>
                <w:rFonts w:ascii="Calibri" w:hAnsi="Calibri"/>
                <w:b/>
              </w:rPr>
              <w:t>AIIR</w:t>
            </w:r>
            <w:r w:rsidR="00A5440A">
              <w:rPr>
                <w:rStyle w:val="Hyperlink"/>
                <w:rFonts w:ascii="Calibri" w:hAnsi="Calibri"/>
                <w:b/>
              </w:rPr>
              <w:fldChar w:fldCharType="end"/>
            </w:r>
            <w:commentRangeEnd w:id="1"/>
            <w:r w:rsidR="0093083B">
              <w:rPr>
                <w:rStyle w:val="CommentReference"/>
                <w:rFonts w:ascii="Arial" w:hAnsi="Arial" w:cs="Arial"/>
              </w:rPr>
              <w:commentReference w:id="1"/>
            </w:r>
          </w:p>
        </w:tc>
      </w:tr>
      <w:tr w:rsidR="009C7BFA" w:rsidRPr="000031F0" w14:paraId="48125DB9" w14:textId="77777777" w:rsidTr="00E42461">
        <w:trPr>
          <w:trHeight w:val="1211"/>
        </w:trPr>
        <w:tc>
          <w:tcPr>
            <w:tcW w:w="1242" w:type="dxa"/>
          </w:tcPr>
          <w:p w14:paraId="48808772" w14:textId="77777777" w:rsidR="0093083B" w:rsidRDefault="0093083B" w:rsidP="00E42461">
            <w:pPr>
              <w:rPr>
                <w:color w:val="808080" w:themeColor="background1" w:themeShade="80"/>
              </w:rPr>
            </w:pPr>
          </w:p>
          <w:p w14:paraId="33E1AD5E" w14:textId="0B4DF36E" w:rsidR="00E42461" w:rsidRDefault="00E42461" w:rsidP="00E4246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Notes are optional</w:t>
            </w:r>
          </w:p>
          <w:p w14:paraId="65C9B116" w14:textId="2A6F968D" w:rsidR="009C7BFA" w:rsidRPr="000031F0" w:rsidRDefault="00E42461" w:rsidP="00E42461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bCs/>
                <w:iCs/>
                <w:color w:val="A31D6A"/>
                <w:szCs w:val="16"/>
              </w:rPr>
              <w:t>Action</w:t>
            </w:r>
            <w:r w:rsidRPr="00B4691A">
              <w:rPr>
                <w:bCs/>
                <w:iCs/>
                <w:color w:val="A31D6A"/>
                <w:szCs w:val="16"/>
              </w:rPr>
              <w:t xml:space="preserve"> any concerns</w:t>
            </w:r>
            <w:r w:rsidRPr="000031F0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  <w:tc>
          <w:tcPr>
            <w:tcW w:w="9356" w:type="dxa"/>
          </w:tcPr>
          <w:p w14:paraId="5CBA93A3" w14:textId="333C70B6" w:rsidR="009A3452" w:rsidRDefault="009A3452" w:rsidP="00D25AD4">
            <w:pPr>
              <w:pStyle w:val="NormalWeb"/>
              <w:tabs>
                <w:tab w:val="left" w:pos="457"/>
              </w:tabs>
              <w:spacing w:before="0" w:beforeAutospacing="0" w:after="0" w:afterAutospacing="0"/>
              <w:ind w:left="457" w:hanging="393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</w:p>
          <w:p w14:paraId="3C2C0B3C" w14:textId="1EB48EBD" w:rsidR="00B9206E" w:rsidRDefault="00B9206E" w:rsidP="0093083B">
            <w:pPr>
              <w:pStyle w:val="NormalWeb"/>
              <w:tabs>
                <w:tab w:val="left" w:pos="457"/>
              </w:tabs>
              <w:spacing w:before="0" w:beforeAutospacing="0" w:after="0" w:afterAutospacing="0"/>
              <w:ind w:left="457" w:hanging="393"/>
              <w:rPr>
                <w:rFonts w:ascii="Calibri" w:hAnsi="Calibri"/>
                <w:sz w:val="22"/>
                <w:szCs w:val="22"/>
              </w:rPr>
            </w:pPr>
            <w:r w:rsidRPr="0093083B">
              <w:rPr>
                <w:rFonts w:ascii="Calibri" w:hAnsi="Calibri"/>
                <w:sz w:val="22"/>
                <w:szCs w:val="22"/>
              </w:rPr>
              <w:t>Indicative Question:</w:t>
            </w:r>
          </w:p>
          <w:p w14:paraId="0FD4AB33" w14:textId="77777777" w:rsidR="0093083B" w:rsidRPr="0093083B" w:rsidRDefault="0093083B" w:rsidP="0093083B">
            <w:pPr>
              <w:pStyle w:val="NormalWeb"/>
              <w:tabs>
                <w:tab w:val="left" w:pos="457"/>
              </w:tabs>
              <w:spacing w:before="0" w:beforeAutospacing="0" w:after="0" w:afterAutospacing="0"/>
              <w:ind w:left="457" w:hanging="393"/>
              <w:rPr>
                <w:rFonts w:ascii="Calibri" w:hAnsi="Calibri"/>
                <w:sz w:val="22"/>
                <w:szCs w:val="22"/>
              </w:rPr>
            </w:pPr>
          </w:p>
          <w:p w14:paraId="54681430" w14:textId="3FD9FF44" w:rsidR="009C7BFA" w:rsidRPr="0093083B" w:rsidRDefault="009C7BFA" w:rsidP="00B9206E">
            <w:pPr>
              <w:pStyle w:val="ListParagraph"/>
              <w:tabs>
                <w:tab w:val="left" w:pos="457"/>
              </w:tabs>
              <w:ind w:left="64"/>
              <w:rPr>
                <w:rFonts w:ascii="Calibri" w:eastAsia="Times New Roman" w:hAnsi="Calibri" w:cs="Times New Roman"/>
                <w:lang w:eastAsia="en-GB"/>
              </w:rPr>
            </w:pPr>
            <w:r w:rsidRPr="0093083B">
              <w:rPr>
                <w:rFonts w:ascii="Calibri" w:eastAsia="Times New Roman" w:hAnsi="Calibri" w:cs="Times New Roman"/>
                <w:lang w:eastAsia="en-GB"/>
              </w:rPr>
              <w:t xml:space="preserve">Can we discuss a situation when you felt challenged by behaviour, or were unsure about your own response </w:t>
            </w:r>
            <w:r w:rsidR="00744B78">
              <w:rPr>
                <w:rFonts w:ascii="Calibri" w:eastAsia="Times New Roman" w:hAnsi="Calibri" w:cs="Times New Roman"/>
                <w:lang w:eastAsia="en-GB"/>
              </w:rPr>
              <w:t>and actions</w:t>
            </w:r>
            <w:r w:rsidRPr="0093083B">
              <w:rPr>
                <w:rFonts w:ascii="Calibri" w:eastAsia="Times New Roman" w:hAnsi="Calibri" w:cs="Times New Roman"/>
                <w:lang w:eastAsia="en-GB"/>
              </w:rPr>
              <w:t xml:space="preserve">? How can </w:t>
            </w:r>
            <w:r w:rsidR="0093083B" w:rsidRPr="0093083B">
              <w:rPr>
                <w:rFonts w:ascii="Calibri" w:eastAsia="Times New Roman" w:hAnsi="Calibri" w:cs="Times New Roman"/>
                <w:lang w:eastAsia="en-GB"/>
              </w:rPr>
              <w:t>workplace guidance</w:t>
            </w:r>
            <w:r w:rsidR="0093083B">
              <w:rPr>
                <w:rFonts w:ascii="Calibri" w:eastAsia="Times New Roman" w:hAnsi="Calibri" w:cs="Times New Roman"/>
                <w:lang w:eastAsia="en-GB"/>
              </w:rPr>
              <w:t xml:space="preserve"> and professional expectations</w:t>
            </w:r>
            <w:r w:rsidR="0093083B" w:rsidRPr="0093083B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93083B">
              <w:rPr>
                <w:rFonts w:ascii="Calibri" w:eastAsia="Times New Roman" w:hAnsi="Calibri" w:cs="Times New Roman"/>
                <w:lang w:eastAsia="en-GB"/>
              </w:rPr>
              <w:t xml:space="preserve">help you </w:t>
            </w:r>
            <w:r w:rsidR="0093083B">
              <w:rPr>
                <w:rFonts w:ascii="Calibri" w:eastAsia="Times New Roman" w:hAnsi="Calibri" w:cs="Times New Roman"/>
                <w:lang w:eastAsia="en-GB"/>
              </w:rPr>
              <w:t xml:space="preserve">/ others to </w:t>
            </w:r>
            <w:r w:rsidRPr="0093083B">
              <w:rPr>
                <w:rFonts w:ascii="Calibri" w:eastAsia="Times New Roman" w:hAnsi="Calibri" w:cs="Times New Roman"/>
                <w:lang w:eastAsia="en-GB"/>
              </w:rPr>
              <w:t xml:space="preserve">overcome </w:t>
            </w:r>
            <w:r w:rsidR="0093083B" w:rsidRPr="0093083B">
              <w:rPr>
                <w:rFonts w:ascii="Calibri" w:eastAsia="Times New Roman" w:hAnsi="Calibri" w:cs="Times New Roman"/>
                <w:lang w:eastAsia="en-GB"/>
              </w:rPr>
              <w:t xml:space="preserve">any </w:t>
            </w:r>
            <w:r w:rsidRPr="0093083B">
              <w:rPr>
                <w:rFonts w:ascii="Calibri" w:eastAsia="Times New Roman" w:hAnsi="Calibri" w:cs="Times New Roman"/>
                <w:lang w:eastAsia="en-GB"/>
              </w:rPr>
              <w:t>bias</w:t>
            </w:r>
            <w:r w:rsidR="0093083B" w:rsidRPr="0093083B">
              <w:rPr>
                <w:rFonts w:ascii="Calibri" w:eastAsia="Times New Roman" w:hAnsi="Calibri" w:cs="Times New Roman"/>
                <w:lang w:eastAsia="en-GB"/>
              </w:rPr>
              <w:t xml:space="preserve"> and with what </w:t>
            </w:r>
            <w:r w:rsidR="0093083B" w:rsidRPr="0093083B">
              <w:rPr>
                <w:rFonts w:eastAsia="Times New Roman" w:cs="Times New Roman"/>
                <w:lang w:eastAsia="en-GB"/>
              </w:rPr>
              <w:t>impact for you in your role?</w:t>
            </w:r>
          </w:p>
          <w:p w14:paraId="40CE5EA9" w14:textId="37DB501A" w:rsidR="009C7BFA" w:rsidRPr="0093083B" w:rsidRDefault="009C7BFA" w:rsidP="0093083B">
            <w:pPr>
              <w:tabs>
                <w:tab w:val="left" w:pos="457"/>
              </w:tabs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</w:tr>
    </w:tbl>
    <w:p w14:paraId="30D0B0B4" w14:textId="78D169EC" w:rsidR="00E42461" w:rsidRPr="00E42461" w:rsidRDefault="00E42461" w:rsidP="00E42461">
      <w:pPr>
        <w:tabs>
          <w:tab w:val="left" w:pos="4490"/>
        </w:tabs>
        <w:rPr>
          <w:sz w:val="28"/>
          <w:szCs w:val="20"/>
          <w:highlight w:val="magenta"/>
        </w:rPr>
      </w:pPr>
    </w:p>
    <w:tbl>
      <w:tblPr>
        <w:tblStyle w:val="TableGrid"/>
        <w:tblpPr w:leftFromText="180" w:rightFromText="180" w:vertAnchor="text" w:horzAnchor="margin" w:tblpY="262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7438E" w:rsidRPr="00896168" w14:paraId="3E7848CD" w14:textId="77777777" w:rsidTr="00C7438E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1B316A3" w14:textId="438FB41B" w:rsidR="00C7438E" w:rsidRPr="0093083B" w:rsidRDefault="00C7438E" w:rsidP="00C7438E">
            <w:pPr>
              <w:rPr>
                <w:rFonts w:ascii="Calibri" w:hAnsi="Calibri"/>
                <w:iCs/>
                <w:color w:val="808080" w:themeColor="background1" w:themeShade="80"/>
              </w:rPr>
            </w:pPr>
            <w:r w:rsidRPr="0093083B">
              <w:rPr>
                <w:rFonts w:ascii="Calibri" w:hAnsi="Calibri"/>
                <w:b/>
                <w:iCs/>
              </w:rPr>
              <w:t xml:space="preserve">Going Forward </w:t>
            </w:r>
            <w:r w:rsidR="0093083B" w:rsidRPr="0093083B">
              <w:rPr>
                <w:rFonts w:ascii="Calibri" w:hAnsi="Calibri"/>
                <w:b/>
                <w:iCs/>
              </w:rPr>
              <w:t>–</w:t>
            </w:r>
            <w:r w:rsidRPr="0093083B">
              <w:rPr>
                <w:rFonts w:ascii="Calibri" w:hAnsi="Calibri"/>
                <w:b/>
                <w:iCs/>
              </w:rPr>
              <w:t xml:space="preserve"> </w:t>
            </w:r>
            <w:r w:rsidR="0093083B">
              <w:rPr>
                <w:rFonts w:ascii="Calibri" w:hAnsi="Calibri"/>
                <w:b/>
                <w:iCs/>
              </w:rPr>
              <w:t xml:space="preserve">STARE </w:t>
            </w:r>
            <w:r w:rsidR="0093083B" w:rsidRPr="0093083B">
              <w:rPr>
                <w:rFonts w:ascii="Calibri" w:hAnsi="Calibri"/>
                <w:b/>
                <w:iCs/>
              </w:rPr>
              <w:t xml:space="preserve">Evidence and </w:t>
            </w:r>
            <w:r w:rsidRPr="0093083B">
              <w:rPr>
                <w:rFonts w:ascii="Calibri" w:hAnsi="Calibri"/>
                <w:b/>
                <w:iCs/>
              </w:rPr>
              <w:t>SMART target</w:t>
            </w:r>
            <w:r w:rsidR="0093083B" w:rsidRPr="0093083B">
              <w:rPr>
                <w:rFonts w:ascii="Calibri" w:hAnsi="Calibri"/>
                <w:b/>
                <w:iCs/>
              </w:rPr>
              <w:t>s</w:t>
            </w:r>
          </w:p>
        </w:tc>
      </w:tr>
      <w:tr w:rsidR="00347C51" w:rsidRPr="00396DA3" w14:paraId="439DEC25" w14:textId="77777777" w:rsidTr="00AB1C6E">
        <w:trPr>
          <w:trHeight w:val="1350"/>
        </w:trPr>
        <w:tc>
          <w:tcPr>
            <w:tcW w:w="1242" w:type="dxa"/>
            <w:vMerge w:val="restart"/>
          </w:tcPr>
          <w:p w14:paraId="6962922F" w14:textId="77777777" w:rsidR="00347C51" w:rsidRDefault="00347C51" w:rsidP="00C7438E">
            <w:pPr>
              <w:rPr>
                <w:bCs/>
                <w:iCs/>
                <w:color w:val="A31D6A"/>
                <w:szCs w:val="16"/>
              </w:rPr>
            </w:pPr>
          </w:p>
          <w:p w14:paraId="5BD4DF00" w14:textId="77777777" w:rsidR="00347C51" w:rsidRDefault="00347C51" w:rsidP="00C7438E">
            <w:pPr>
              <w:rPr>
                <w:bCs/>
                <w:iCs/>
                <w:color w:val="A31D6A"/>
                <w:szCs w:val="16"/>
              </w:rPr>
            </w:pPr>
          </w:p>
          <w:p w14:paraId="7D88B69B" w14:textId="77777777" w:rsidR="00347C51" w:rsidRDefault="00347C51" w:rsidP="00C7438E">
            <w:pPr>
              <w:rPr>
                <w:bCs/>
                <w:iCs/>
                <w:color w:val="A31D6A"/>
                <w:szCs w:val="16"/>
              </w:rPr>
            </w:pPr>
          </w:p>
          <w:p w14:paraId="212D04D1" w14:textId="6CD0A22B" w:rsidR="00347C51" w:rsidRDefault="00347C51" w:rsidP="00C7438E">
            <w:pPr>
              <w:rPr>
                <w:bCs/>
                <w:iCs/>
                <w:color w:val="A31D6A"/>
                <w:szCs w:val="16"/>
              </w:rPr>
            </w:pPr>
          </w:p>
          <w:p w14:paraId="1AEA35A6" w14:textId="2618D5AE" w:rsidR="00347C51" w:rsidRDefault="00347C51" w:rsidP="00C7438E">
            <w:pPr>
              <w:rPr>
                <w:bCs/>
                <w:iCs/>
                <w:color w:val="A31D6A"/>
                <w:szCs w:val="16"/>
              </w:rPr>
            </w:pPr>
          </w:p>
          <w:p w14:paraId="21CA4CC7" w14:textId="68F03C97" w:rsidR="00347C51" w:rsidRDefault="00347C51" w:rsidP="00C7438E">
            <w:pPr>
              <w:rPr>
                <w:bCs/>
                <w:iCs/>
                <w:color w:val="A31D6A"/>
                <w:szCs w:val="16"/>
              </w:rPr>
            </w:pPr>
          </w:p>
          <w:p w14:paraId="635165F0" w14:textId="44C09668" w:rsidR="00347C51" w:rsidRDefault="00347C51" w:rsidP="00C7438E">
            <w:pPr>
              <w:rPr>
                <w:bCs/>
                <w:iCs/>
                <w:color w:val="A31D6A"/>
                <w:szCs w:val="16"/>
              </w:rPr>
            </w:pPr>
          </w:p>
          <w:p w14:paraId="2B56F50A" w14:textId="77777777" w:rsidR="00347C51" w:rsidRDefault="00347C51" w:rsidP="00C7438E">
            <w:pPr>
              <w:rPr>
                <w:bCs/>
                <w:iCs/>
                <w:color w:val="A31D6A"/>
                <w:szCs w:val="16"/>
              </w:rPr>
            </w:pPr>
          </w:p>
          <w:p w14:paraId="278DB54B" w14:textId="0FAB36CD" w:rsidR="00347C51" w:rsidRPr="00C7438E" w:rsidRDefault="00347C51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5C67FC">
              <w:rPr>
                <w:bCs/>
                <w:iCs/>
                <w:color w:val="A31D6A"/>
                <w:szCs w:val="16"/>
              </w:rPr>
              <w:t>Apprentice to complete this section</w:t>
            </w:r>
          </w:p>
        </w:tc>
        <w:tc>
          <w:tcPr>
            <w:tcW w:w="9356" w:type="dxa"/>
          </w:tcPr>
          <w:p w14:paraId="1D5AF70F" w14:textId="77777777" w:rsidR="00347C51" w:rsidRDefault="00347C51" w:rsidP="00E42461">
            <w:pPr>
              <w:tabs>
                <w:tab w:val="left" w:pos="3591"/>
              </w:tabs>
              <w:ind w:left="321" w:hanging="321"/>
              <w:rPr>
                <w:rFonts w:ascii="Calibri" w:eastAsia="Times New Roman" w:hAnsi="Calibri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  <w:p w14:paraId="43E5F037" w14:textId="3C7A48C9" w:rsidR="00347C51" w:rsidRDefault="00347C51" w:rsidP="00D8277A">
            <w:pPr>
              <w:pStyle w:val="NormalWeb"/>
              <w:tabs>
                <w:tab w:val="left" w:pos="32"/>
              </w:tabs>
              <w:spacing w:before="0" w:beforeAutospacing="0" w:after="0" w:afterAutospacing="0"/>
              <w:ind w:left="32"/>
              <w:rPr>
                <w:rFonts w:ascii="Calibri" w:hAnsi="Calibri"/>
                <w:sz w:val="22"/>
                <w:szCs w:val="22"/>
              </w:rPr>
            </w:pPr>
            <w:r w:rsidRPr="0093083B">
              <w:rPr>
                <w:rFonts w:ascii="Calibri" w:hAnsi="Calibri"/>
                <w:sz w:val="22"/>
                <w:szCs w:val="22"/>
              </w:rPr>
              <w:t>Indicative Question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93083B">
              <w:rPr>
                <w:rFonts w:ascii="Calibri" w:hAnsi="Calibri"/>
                <w:sz w:val="22"/>
                <w:szCs w:val="22"/>
              </w:rPr>
              <w:t>:</w:t>
            </w:r>
          </w:p>
          <w:p w14:paraId="3DF951DE" w14:textId="1048D58D" w:rsidR="00347C51" w:rsidRPr="0093083B" w:rsidRDefault="00347C51" w:rsidP="00A5440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</w:rPr>
            </w:pPr>
            <w:r w:rsidRPr="0093083B">
              <w:rPr>
                <w:rFonts w:ascii="Calibri" w:hAnsi="Calibri"/>
              </w:rPr>
              <w:t xml:space="preserve">Can you identify </w:t>
            </w:r>
            <w:r>
              <w:rPr>
                <w:rFonts w:ascii="Calibri" w:hAnsi="Calibri"/>
              </w:rPr>
              <w:t xml:space="preserve">any </w:t>
            </w:r>
            <w:r w:rsidRPr="0093083B">
              <w:rPr>
                <w:rFonts w:ascii="Calibri" w:hAnsi="Calibri"/>
              </w:rPr>
              <w:t>specific tasks</w:t>
            </w:r>
            <w:r>
              <w:rPr>
                <w:rFonts w:ascii="Calibri" w:hAnsi="Calibri"/>
              </w:rPr>
              <w:t xml:space="preserve"> or </w:t>
            </w:r>
            <w:r w:rsidRPr="0093083B">
              <w:rPr>
                <w:rFonts w:ascii="Calibri" w:hAnsi="Calibri"/>
              </w:rPr>
              <w:t xml:space="preserve">project where EDI </w:t>
            </w:r>
            <w:r>
              <w:rPr>
                <w:rFonts w:ascii="Calibri" w:hAnsi="Calibri"/>
              </w:rPr>
              <w:t xml:space="preserve">was implicit in the knowledge skills and behaviours you deployed to influence </w:t>
            </w:r>
            <w:r w:rsidRPr="0093083B">
              <w:rPr>
                <w:rFonts w:ascii="Calibri" w:hAnsi="Calibri"/>
              </w:rPr>
              <w:t>positive impact or change?</w:t>
            </w:r>
          </w:p>
          <w:p w14:paraId="0270C967" w14:textId="0DE7DEBC" w:rsidR="00347C51" w:rsidRPr="00D8277A" w:rsidRDefault="00347C51" w:rsidP="00A5440A">
            <w:pPr>
              <w:pStyle w:val="ListParagraph"/>
              <w:numPr>
                <w:ilvl w:val="0"/>
                <w:numId w:val="4"/>
              </w:numPr>
              <w:tabs>
                <w:tab w:val="left" w:pos="3591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827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are the requirements and </w:t>
            </w:r>
            <w:commentRangeStart w:id="2"/>
            <w:r w:rsidRPr="00D827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opportunities </w:t>
            </w:r>
            <w:commentRangeEnd w:id="2"/>
            <w:r w:rsidRPr="0093083B">
              <w:rPr>
                <w:rStyle w:val="CommentReference"/>
                <w:rFonts w:ascii="Arial" w:hAnsi="Arial" w:cs="Arial"/>
              </w:rPr>
              <w:commentReference w:id="2"/>
            </w:r>
            <w:r w:rsidRPr="00D827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for your further development of KSBs?</w:t>
            </w:r>
          </w:p>
          <w:p w14:paraId="137326A3" w14:textId="0D97F579" w:rsidR="00347C51" w:rsidRPr="00D25AD4" w:rsidRDefault="00347C51" w:rsidP="00D25AD4">
            <w:pPr>
              <w:tabs>
                <w:tab w:val="left" w:pos="3591"/>
              </w:tabs>
              <w:ind w:right="-108"/>
              <w:rPr>
                <w:rFonts w:ascii="Calibri" w:hAnsi="Calibri"/>
                <w:i/>
                <w:color w:val="808080" w:themeColor="background1" w:themeShade="80"/>
              </w:rPr>
            </w:pPr>
          </w:p>
        </w:tc>
      </w:tr>
      <w:tr w:rsidR="00347C51" w:rsidRPr="00396DA3" w14:paraId="58D776CC" w14:textId="77777777" w:rsidTr="00AB1C6E">
        <w:trPr>
          <w:trHeight w:val="1350"/>
        </w:trPr>
        <w:tc>
          <w:tcPr>
            <w:tcW w:w="1242" w:type="dxa"/>
            <w:vMerge/>
          </w:tcPr>
          <w:p w14:paraId="1BFDCE6E" w14:textId="77777777" w:rsidR="00347C51" w:rsidRDefault="00347C51" w:rsidP="00C7438E">
            <w:pPr>
              <w:rPr>
                <w:bCs/>
                <w:iCs/>
                <w:color w:val="A31D6A"/>
                <w:szCs w:val="16"/>
              </w:rPr>
            </w:pPr>
          </w:p>
        </w:tc>
        <w:tc>
          <w:tcPr>
            <w:tcW w:w="9356" w:type="dxa"/>
          </w:tcPr>
          <w:p w14:paraId="139028E2" w14:textId="77777777" w:rsidR="00347C51" w:rsidRDefault="00347C51" w:rsidP="00D25AD4">
            <w:pPr>
              <w:pStyle w:val="ListParagraph"/>
              <w:tabs>
                <w:tab w:val="left" w:pos="3591"/>
              </w:tabs>
              <w:ind w:left="317" w:right="-108"/>
              <w:jc w:val="center"/>
              <w:rPr>
                <w:bCs/>
                <w:iCs/>
                <w:color w:val="A31D6A"/>
                <w:szCs w:val="16"/>
              </w:rPr>
            </w:pPr>
          </w:p>
          <w:p w14:paraId="067352A1" w14:textId="2076B816" w:rsidR="00347C51" w:rsidRDefault="00347C51" w:rsidP="00D25AD4">
            <w:pPr>
              <w:pStyle w:val="ListParagraph"/>
              <w:tabs>
                <w:tab w:val="left" w:pos="3591"/>
              </w:tabs>
              <w:ind w:left="317" w:right="-108"/>
              <w:rPr>
                <w:bCs/>
                <w:i/>
                <w:color w:val="A31D6A"/>
                <w:szCs w:val="16"/>
              </w:rPr>
            </w:pPr>
            <w:r w:rsidRPr="00D25AD4">
              <w:rPr>
                <w:bCs/>
                <w:i/>
                <w:color w:val="A31D6A"/>
                <w:szCs w:val="16"/>
              </w:rPr>
              <w:t>INSERT…</w:t>
            </w:r>
          </w:p>
          <w:p w14:paraId="0580D90C" w14:textId="3B13458D" w:rsidR="00347C51" w:rsidRPr="00D25AD4" w:rsidRDefault="00347C51" w:rsidP="00D25AD4">
            <w:pPr>
              <w:pStyle w:val="ListParagraph"/>
              <w:tabs>
                <w:tab w:val="left" w:pos="3591"/>
              </w:tabs>
              <w:ind w:left="317" w:right="-108"/>
              <w:rPr>
                <w:bCs/>
                <w:i/>
                <w:szCs w:val="16"/>
              </w:rPr>
            </w:pPr>
          </w:p>
          <w:p w14:paraId="6B672A7D" w14:textId="77777777" w:rsidR="00347C51" w:rsidRPr="00D8277A" w:rsidRDefault="00347C51" w:rsidP="00D8277A">
            <w:pPr>
              <w:tabs>
                <w:tab w:val="left" w:pos="3591"/>
              </w:tabs>
              <w:ind w:right="-108"/>
              <w:rPr>
                <w:bCs/>
                <w:i/>
                <w:szCs w:val="16"/>
              </w:rPr>
            </w:pPr>
          </w:p>
          <w:p w14:paraId="53C2BE54" w14:textId="77777777" w:rsidR="00347C51" w:rsidRDefault="00347C51" w:rsidP="00D25AD4">
            <w:pPr>
              <w:pStyle w:val="ListParagraph"/>
              <w:tabs>
                <w:tab w:val="left" w:pos="3591"/>
              </w:tabs>
              <w:ind w:left="317" w:right="-108"/>
              <w:jc w:val="center"/>
              <w:rPr>
                <w:bCs/>
                <w:iCs/>
                <w:color w:val="A31D6A"/>
                <w:szCs w:val="16"/>
              </w:rPr>
            </w:pPr>
          </w:p>
          <w:p w14:paraId="044FC01D" w14:textId="79E261FF" w:rsidR="00347C51" w:rsidRDefault="00347C51" w:rsidP="00347C51">
            <w:pPr>
              <w:pStyle w:val="ListParagraph"/>
              <w:tabs>
                <w:tab w:val="left" w:pos="3591"/>
              </w:tabs>
              <w:ind w:left="3151" w:right="-108"/>
              <w:rPr>
                <w:bCs/>
                <w:iCs/>
                <w:color w:val="A31D6A"/>
                <w:szCs w:val="16"/>
              </w:rPr>
            </w:pPr>
            <w:r w:rsidRPr="005C67FC">
              <w:rPr>
                <w:bCs/>
                <w:iCs/>
                <w:color w:val="A31D6A"/>
                <w:szCs w:val="16"/>
              </w:rPr>
              <w:t xml:space="preserve">Outputs should be </w:t>
            </w:r>
            <w:r>
              <w:rPr>
                <w:bCs/>
                <w:iCs/>
                <w:color w:val="A31D6A"/>
                <w:szCs w:val="16"/>
              </w:rPr>
              <w:t>actioned as Evidence for E-portfolio</w:t>
            </w:r>
          </w:p>
          <w:p w14:paraId="0289D947" w14:textId="77777777" w:rsidR="00347C51" w:rsidRDefault="00347C51" w:rsidP="00347C51">
            <w:pPr>
              <w:pStyle w:val="ListParagraph"/>
              <w:tabs>
                <w:tab w:val="left" w:pos="3591"/>
              </w:tabs>
              <w:ind w:left="3151" w:right="-108"/>
              <w:rPr>
                <w:bCs/>
                <w:iCs/>
                <w:color w:val="A31D6A"/>
                <w:szCs w:val="16"/>
              </w:rPr>
            </w:pPr>
            <w:r>
              <w:rPr>
                <w:bCs/>
                <w:iCs/>
                <w:color w:val="A31D6A"/>
                <w:szCs w:val="16"/>
              </w:rPr>
              <w:t xml:space="preserve">and </w:t>
            </w:r>
            <w:r w:rsidRPr="005C67FC">
              <w:rPr>
                <w:bCs/>
                <w:iCs/>
                <w:color w:val="A31D6A"/>
                <w:szCs w:val="16"/>
              </w:rPr>
              <w:t xml:space="preserve">transposed </w:t>
            </w:r>
            <w:r>
              <w:rPr>
                <w:bCs/>
                <w:iCs/>
                <w:color w:val="A31D6A"/>
                <w:szCs w:val="16"/>
              </w:rPr>
              <w:t xml:space="preserve">as </w:t>
            </w:r>
            <w:r w:rsidRPr="005C67FC">
              <w:rPr>
                <w:bCs/>
                <w:iCs/>
                <w:color w:val="A31D6A"/>
                <w:szCs w:val="16"/>
              </w:rPr>
              <w:t xml:space="preserve">SMART target(s) in </w:t>
            </w:r>
            <w:r>
              <w:rPr>
                <w:bCs/>
                <w:iCs/>
                <w:color w:val="A31D6A"/>
                <w:szCs w:val="16"/>
              </w:rPr>
              <w:t xml:space="preserve">the </w:t>
            </w:r>
            <w:r w:rsidRPr="005C67FC">
              <w:rPr>
                <w:bCs/>
                <w:iCs/>
                <w:color w:val="A31D6A"/>
                <w:szCs w:val="16"/>
              </w:rPr>
              <w:t>main APR review form</w:t>
            </w:r>
          </w:p>
          <w:p w14:paraId="72E51159" w14:textId="77777777" w:rsidR="00347C51" w:rsidRDefault="00347C51" w:rsidP="00E42461">
            <w:pPr>
              <w:tabs>
                <w:tab w:val="left" w:pos="3591"/>
              </w:tabs>
              <w:ind w:left="321" w:hanging="321"/>
              <w:rPr>
                <w:rFonts w:ascii="Calibri" w:eastAsia="Times New Roman" w:hAnsi="Calibri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</w:tbl>
    <w:p w14:paraId="31D2F1BA" w14:textId="77777777" w:rsidR="00555C51" w:rsidRDefault="00555C51" w:rsidP="00D8277A">
      <w:pPr>
        <w:tabs>
          <w:tab w:val="left" w:pos="4700"/>
        </w:tabs>
        <w:ind w:left="1560" w:hanging="426"/>
        <w:rPr>
          <w:b/>
          <w:bCs/>
        </w:rPr>
      </w:pPr>
    </w:p>
    <w:p w14:paraId="7B1E383C" w14:textId="267D5D6B" w:rsidR="00914585" w:rsidRPr="00D8277A" w:rsidRDefault="00555C51" w:rsidP="00555C51">
      <w:pPr>
        <w:ind w:left="709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WBLC </w:t>
      </w:r>
      <w:r w:rsidR="00914585" w:rsidRPr="00D8277A">
        <w:rPr>
          <w:b/>
          <w:bCs/>
        </w:rPr>
        <w:t>Guidance Notes</w:t>
      </w:r>
      <w:r w:rsidR="00D8277A" w:rsidRPr="00D8277A">
        <w:rPr>
          <w:b/>
          <w:bCs/>
        </w:rPr>
        <w:t xml:space="preserve"> for use of APR Thematic Annex Documents</w:t>
      </w:r>
      <w:r w:rsidR="00914585" w:rsidRPr="00D8277A">
        <w:rPr>
          <w:b/>
          <w:bCs/>
        </w:rPr>
        <w:t>:</w:t>
      </w:r>
    </w:p>
    <w:p w14:paraId="308A85B0" w14:textId="569E2705" w:rsidR="00D8277A" w:rsidRDefault="00D8277A" w:rsidP="00347C51">
      <w:pPr>
        <w:pStyle w:val="ListParagraph"/>
        <w:numPr>
          <w:ilvl w:val="0"/>
          <w:numId w:val="1"/>
        </w:numPr>
        <w:tabs>
          <w:tab w:val="left" w:pos="4700"/>
        </w:tabs>
        <w:spacing w:before="120"/>
        <w:ind w:left="1560" w:hanging="426"/>
      </w:pPr>
      <w:r>
        <w:t xml:space="preserve">There are </w:t>
      </w:r>
      <w:r w:rsidRPr="00D8277A">
        <w:t xml:space="preserve">6 thematic documents, </w:t>
      </w:r>
      <w:hyperlink r:id="rId18" w:history="1">
        <w:r w:rsidRPr="00D8277A">
          <w:rPr>
            <w:rStyle w:val="Hyperlink"/>
          </w:rPr>
          <w:t xml:space="preserve">WBLC </w:t>
        </w:r>
      </w:hyperlink>
      <w:hyperlink r:id="rId19" w:history="1">
        <w:proofErr w:type="spellStart"/>
        <w:r w:rsidRPr="00D8277A">
          <w:rPr>
            <w:rStyle w:val="Hyperlink"/>
          </w:rPr>
          <w:t>Sharepoint</w:t>
        </w:r>
        <w:proofErr w:type="spellEnd"/>
      </w:hyperlink>
      <w:r w:rsidRPr="00D8277A">
        <w:rPr>
          <w:u w:val="single"/>
        </w:rPr>
        <w:t xml:space="preserve"> </w:t>
      </w:r>
      <w:r w:rsidRPr="00D8277A">
        <w:t>each designed to focus on one aspect of the Essentials and connect to a key section of AIIR</w:t>
      </w:r>
    </w:p>
    <w:p w14:paraId="0C4BDDAF" w14:textId="77777777" w:rsidR="00347C51" w:rsidRPr="00D8277A" w:rsidRDefault="00347C51" w:rsidP="00347C51">
      <w:pPr>
        <w:pStyle w:val="ListParagraph"/>
        <w:tabs>
          <w:tab w:val="left" w:pos="4700"/>
        </w:tabs>
        <w:spacing w:before="120"/>
        <w:ind w:left="1560"/>
      </w:pPr>
    </w:p>
    <w:p w14:paraId="4EB82443" w14:textId="071278BB" w:rsidR="00347C51" w:rsidRDefault="00D8277A" w:rsidP="00347C51">
      <w:pPr>
        <w:pStyle w:val="ListParagraph"/>
        <w:numPr>
          <w:ilvl w:val="0"/>
          <w:numId w:val="1"/>
        </w:numPr>
        <w:tabs>
          <w:tab w:val="left" w:pos="4700"/>
        </w:tabs>
        <w:spacing w:before="120"/>
        <w:ind w:left="1560" w:hanging="426"/>
      </w:pPr>
      <w:r w:rsidRPr="00D8277A">
        <w:t>Use one Thematic Annex for each APR, depending on your SEE</w:t>
      </w:r>
      <w:r>
        <w:t>. Only send out</w:t>
      </w:r>
      <w:r w:rsidR="00347C51">
        <w:t xml:space="preserve"> share</w:t>
      </w:r>
      <w:r>
        <w:t xml:space="preserve"> the clean version with comments removed.</w:t>
      </w:r>
    </w:p>
    <w:p w14:paraId="3C47FCE3" w14:textId="77777777" w:rsidR="00347C51" w:rsidRDefault="00347C51" w:rsidP="00347C51">
      <w:pPr>
        <w:pStyle w:val="ListParagraph"/>
      </w:pPr>
    </w:p>
    <w:p w14:paraId="2D05CB0C" w14:textId="77777777" w:rsidR="00347C51" w:rsidRDefault="00185575" w:rsidP="00E40EE2">
      <w:pPr>
        <w:pStyle w:val="ListParagraph"/>
        <w:numPr>
          <w:ilvl w:val="0"/>
          <w:numId w:val="1"/>
        </w:numPr>
        <w:tabs>
          <w:tab w:val="left" w:pos="4700"/>
        </w:tabs>
        <w:spacing w:before="120"/>
        <w:ind w:left="1560" w:hanging="426"/>
      </w:pPr>
      <w:r w:rsidRPr="00D8277A">
        <w:t>For longer apprenticeships e.g. 4+ years, each them</w:t>
      </w:r>
      <w:r>
        <w:t xml:space="preserve">atic annex </w:t>
      </w:r>
      <w:r w:rsidRPr="00D8277A">
        <w:t xml:space="preserve">might </w:t>
      </w:r>
      <w:r>
        <w:t>be deployed</w:t>
      </w:r>
      <w:r w:rsidRPr="00D8277A">
        <w:t xml:space="preserve"> more than once and so the WBLC can use the prompt questions to drive more progressive conversations depending on the SEE and the </w:t>
      </w:r>
      <w:r>
        <w:t xml:space="preserve">individual </w:t>
      </w:r>
      <w:r w:rsidRPr="00D8277A">
        <w:t>level of Apprentice engagement.</w:t>
      </w:r>
    </w:p>
    <w:p w14:paraId="524B6665" w14:textId="77777777" w:rsidR="00347C51" w:rsidRDefault="00347C51" w:rsidP="00347C51">
      <w:pPr>
        <w:pStyle w:val="ListParagraph"/>
      </w:pPr>
    </w:p>
    <w:p w14:paraId="7523AAEF" w14:textId="3275A87D" w:rsidR="00D8277A" w:rsidRDefault="00185575" w:rsidP="00E40EE2">
      <w:pPr>
        <w:pStyle w:val="ListParagraph"/>
        <w:numPr>
          <w:ilvl w:val="0"/>
          <w:numId w:val="1"/>
        </w:numPr>
        <w:tabs>
          <w:tab w:val="left" w:pos="4700"/>
        </w:tabs>
        <w:spacing w:before="120"/>
        <w:ind w:left="1560" w:hanging="426"/>
      </w:pPr>
      <w:r w:rsidRPr="00D8277A">
        <w:t>WBLC should thank the apprentice an</w:t>
      </w:r>
      <w:r w:rsidR="00643F2F">
        <w:t>d</w:t>
      </w:r>
      <w:r w:rsidRPr="00D8277A">
        <w:t xml:space="preserve"> employer for engaging with the specific theme but check </w:t>
      </w:r>
      <w:r w:rsidR="00643F2F">
        <w:t>for ot</w:t>
      </w:r>
      <w:r w:rsidRPr="00D8277A">
        <w:t>her areas of high importance, particularly relating to Safeguarding and wellbeing that might warrant a high priority.</w:t>
      </w:r>
    </w:p>
    <w:p w14:paraId="26FDBD4A" w14:textId="77777777" w:rsidR="00347C51" w:rsidRDefault="00347C51" w:rsidP="00347C51">
      <w:pPr>
        <w:pStyle w:val="ListParagraph"/>
      </w:pPr>
    </w:p>
    <w:p w14:paraId="3592A7A2" w14:textId="77777777" w:rsidR="00347C51" w:rsidRDefault="00185575" w:rsidP="00347C51">
      <w:pPr>
        <w:pStyle w:val="ListParagraph"/>
        <w:numPr>
          <w:ilvl w:val="0"/>
          <w:numId w:val="1"/>
        </w:numPr>
        <w:tabs>
          <w:tab w:val="left" w:pos="4700"/>
        </w:tabs>
        <w:spacing w:before="120"/>
        <w:ind w:left="1560" w:hanging="426"/>
      </w:pPr>
      <w:r w:rsidRPr="00D8277A">
        <w:t>Coaches may choose the order, but it is recommended to complete the overall APR first then bring in the Thematic Annex.</w:t>
      </w:r>
      <w:r w:rsidRPr="00185575">
        <w:t xml:space="preserve"> </w:t>
      </w:r>
      <w:r>
        <w:t xml:space="preserve">  </w:t>
      </w:r>
      <w:r w:rsidRPr="00D8277A">
        <w:t xml:space="preserve">Some of the relevant conversation on the theme may have already arise in the main APR, </w:t>
      </w:r>
      <w:r>
        <w:t>so draw on that to get the most out of the review.</w:t>
      </w:r>
    </w:p>
    <w:p w14:paraId="5635B151" w14:textId="77777777" w:rsidR="00347C51" w:rsidRDefault="00347C51" w:rsidP="00347C51">
      <w:pPr>
        <w:pStyle w:val="ListParagraph"/>
      </w:pPr>
    </w:p>
    <w:p w14:paraId="19A209E5" w14:textId="790B7191" w:rsidR="00347C51" w:rsidRDefault="00D8277A" w:rsidP="00347C51">
      <w:pPr>
        <w:pStyle w:val="ListParagraph"/>
        <w:numPr>
          <w:ilvl w:val="0"/>
          <w:numId w:val="1"/>
        </w:numPr>
        <w:tabs>
          <w:tab w:val="left" w:pos="4700"/>
        </w:tabs>
        <w:spacing w:before="120"/>
        <w:ind w:left="1560" w:hanging="426"/>
      </w:pPr>
      <w:r w:rsidRPr="00D8277A">
        <w:t xml:space="preserve">Each APR Annex uses a flow of questions, planned to </w:t>
      </w:r>
      <w:r>
        <w:t>maximise APR productivity</w:t>
      </w:r>
      <w:r w:rsidRPr="00D8277A">
        <w:t xml:space="preserve"> and drive KSB development</w:t>
      </w:r>
      <w:r w:rsidR="00347C51">
        <w:t xml:space="preserve">.  It is not </w:t>
      </w:r>
      <w:r w:rsidR="00347C51">
        <w:t xml:space="preserve">It is not </w:t>
      </w:r>
      <w:r w:rsidR="00347C51" w:rsidRPr="00347C51">
        <w:rPr>
          <w:i/>
          <w:iCs/>
        </w:rPr>
        <w:t>necessary</w:t>
      </w:r>
      <w:r w:rsidR="00347C51">
        <w:t xml:space="preserve"> to write specific notes against the</w:t>
      </w:r>
      <w:r w:rsidR="00347C51">
        <w:t xml:space="preserve"> first two question boxes, </w:t>
      </w:r>
      <w:r w:rsidR="00347C51">
        <w:t xml:space="preserve"> but if concerns or opportunities arise be sure to carry these forward as actions in the final box</w:t>
      </w:r>
      <w:r w:rsidR="00347C51">
        <w:t xml:space="preserve"> on the APR Annex form and then transpose SMART actions into the main APR action plan.</w:t>
      </w:r>
    </w:p>
    <w:p w14:paraId="015FC7CB" w14:textId="6F00864F" w:rsidR="00D8277A" w:rsidRPr="00D8277A" w:rsidRDefault="00D8277A" w:rsidP="00347C51">
      <w:pPr>
        <w:pStyle w:val="ListParagraph"/>
        <w:tabs>
          <w:tab w:val="left" w:pos="4700"/>
        </w:tabs>
        <w:spacing w:before="120"/>
        <w:ind w:left="1560"/>
      </w:pPr>
    </w:p>
    <w:p w14:paraId="24284556" w14:textId="3799564E" w:rsidR="00D8277A" w:rsidRPr="00D8277A" w:rsidRDefault="00D8277A" w:rsidP="00347C51">
      <w:pPr>
        <w:pStyle w:val="ListParagraph"/>
        <w:tabs>
          <w:tab w:val="left" w:pos="4700"/>
        </w:tabs>
        <w:spacing w:before="120"/>
        <w:ind w:left="1985"/>
      </w:pPr>
      <w:r>
        <w:rPr>
          <w:b/>
          <w:bCs/>
        </w:rPr>
        <w:t>Initial discussion – Learning on Programme</w:t>
      </w:r>
      <w:r w:rsidRPr="00D8277A">
        <w:rPr>
          <w:b/>
          <w:bCs/>
        </w:rPr>
        <w:t xml:space="preserve"> </w:t>
      </w:r>
    </w:p>
    <w:p w14:paraId="5A3B102A" w14:textId="38CA7B97" w:rsidR="00347C51" w:rsidRDefault="00D8277A" w:rsidP="00347C51">
      <w:pPr>
        <w:pStyle w:val="ListParagraph"/>
        <w:tabs>
          <w:tab w:val="left" w:pos="4700"/>
        </w:tabs>
        <w:spacing w:before="120"/>
        <w:ind w:left="1985"/>
      </w:pPr>
      <w:r w:rsidRPr="00D8277A">
        <w:t>Support the Apprentice to look back, align, or look forwards to relevant curriculum events (implementing a working SEE!)</w:t>
      </w:r>
    </w:p>
    <w:p w14:paraId="12F08ED9" w14:textId="77777777" w:rsidR="00347C51" w:rsidRPr="00D8277A" w:rsidRDefault="00347C51" w:rsidP="00347C51">
      <w:pPr>
        <w:pStyle w:val="ListParagraph"/>
        <w:tabs>
          <w:tab w:val="left" w:pos="4700"/>
        </w:tabs>
        <w:spacing w:before="120"/>
        <w:ind w:left="1985"/>
      </w:pPr>
    </w:p>
    <w:p w14:paraId="5D279B9F" w14:textId="77777777" w:rsidR="00D8277A" w:rsidRDefault="00D8277A" w:rsidP="00347C51">
      <w:pPr>
        <w:pStyle w:val="ListParagraph"/>
        <w:tabs>
          <w:tab w:val="left" w:pos="4700"/>
        </w:tabs>
        <w:spacing w:before="120"/>
        <w:ind w:left="1985"/>
        <w:rPr>
          <w:rStyle w:val="Hyperlink"/>
          <w:rFonts w:ascii="Calibri" w:hAnsi="Calibri"/>
          <w:b/>
        </w:rPr>
      </w:pPr>
      <w:r w:rsidRPr="000031F0">
        <w:rPr>
          <w:rFonts w:ascii="Calibri" w:hAnsi="Calibri"/>
          <w:b/>
        </w:rPr>
        <w:t xml:space="preserve">Further Discussion - Ongoing Reflection </w:t>
      </w:r>
      <w:r>
        <w:rPr>
          <w:rFonts w:ascii="Calibri" w:hAnsi="Calibri"/>
          <w:b/>
        </w:rPr>
        <w:t xml:space="preserve">of experience and </w:t>
      </w:r>
      <w:r w:rsidRPr="000031F0">
        <w:rPr>
          <w:rFonts w:ascii="Calibri" w:hAnsi="Calibri"/>
          <w:b/>
        </w:rPr>
        <w:t xml:space="preserve">in response to </w:t>
      </w:r>
      <w:hyperlink r:id="rId20" w:history="1">
        <w:r w:rsidRPr="00D22BFE">
          <w:rPr>
            <w:rStyle w:val="Hyperlink"/>
            <w:rFonts w:ascii="Calibri" w:hAnsi="Calibri"/>
            <w:b/>
          </w:rPr>
          <w:t>AIIR</w:t>
        </w:r>
      </w:hyperlink>
    </w:p>
    <w:p w14:paraId="6D74041E" w14:textId="04DFE20A" w:rsidR="00347C51" w:rsidRDefault="00D8277A" w:rsidP="00347C51">
      <w:pPr>
        <w:pStyle w:val="ListParagraph"/>
        <w:tabs>
          <w:tab w:val="left" w:pos="4700"/>
        </w:tabs>
        <w:spacing w:before="120"/>
        <w:ind w:left="1985"/>
      </w:pPr>
      <w:r w:rsidRPr="00D8277A">
        <w:t xml:space="preserve">Facilitate discussion on thematic evidence within the workplace, </w:t>
      </w:r>
      <w:r>
        <w:t>u</w:t>
      </w:r>
      <w:r w:rsidRPr="00D8277A">
        <w:t>se tools and resources in AIIR to aid reflections making links to KSBs</w:t>
      </w:r>
      <w:r>
        <w:t xml:space="preserve">.  </w:t>
      </w:r>
      <w:r w:rsidR="00347C51">
        <w:t>Use SEE to p</w:t>
      </w:r>
      <w:r>
        <w:t xml:space="preserve">lan </w:t>
      </w:r>
      <w:r w:rsidR="00347C51">
        <w:t xml:space="preserve">the </w:t>
      </w:r>
      <w:r>
        <w:t>release AIIR before and/or after the APR.</w:t>
      </w:r>
    </w:p>
    <w:p w14:paraId="2A32E82D" w14:textId="77777777" w:rsidR="00347C51" w:rsidRPr="00347C51" w:rsidRDefault="00347C51" w:rsidP="00347C51">
      <w:pPr>
        <w:pStyle w:val="ListParagraph"/>
        <w:tabs>
          <w:tab w:val="left" w:pos="4700"/>
        </w:tabs>
        <w:spacing w:before="120"/>
        <w:ind w:left="1985"/>
      </w:pPr>
    </w:p>
    <w:p w14:paraId="7DB38632" w14:textId="77777777" w:rsidR="00D8277A" w:rsidRDefault="00D8277A" w:rsidP="00347C51">
      <w:pPr>
        <w:pStyle w:val="ListParagraph"/>
        <w:tabs>
          <w:tab w:val="left" w:pos="4700"/>
        </w:tabs>
        <w:spacing w:before="120"/>
        <w:ind w:left="1985"/>
      </w:pPr>
      <w:r w:rsidRPr="0093083B">
        <w:rPr>
          <w:rFonts w:ascii="Calibri" w:hAnsi="Calibri"/>
          <w:b/>
          <w:iCs/>
        </w:rPr>
        <w:t xml:space="preserve">Going Forward – </w:t>
      </w:r>
      <w:r>
        <w:rPr>
          <w:rFonts w:ascii="Calibri" w:hAnsi="Calibri"/>
          <w:b/>
          <w:iCs/>
        </w:rPr>
        <w:t xml:space="preserve">STARE </w:t>
      </w:r>
      <w:r w:rsidRPr="0093083B">
        <w:rPr>
          <w:rFonts w:ascii="Calibri" w:hAnsi="Calibri"/>
          <w:b/>
          <w:iCs/>
        </w:rPr>
        <w:t>Evidence and SMART targets</w:t>
      </w:r>
      <w:r w:rsidRPr="00D8277A">
        <w:t xml:space="preserve"> </w:t>
      </w:r>
    </w:p>
    <w:p w14:paraId="12951B99" w14:textId="37F781C6" w:rsidR="00185575" w:rsidRDefault="00D8277A" w:rsidP="00347C51">
      <w:pPr>
        <w:pStyle w:val="ListParagraph"/>
        <w:tabs>
          <w:tab w:val="left" w:pos="4700"/>
        </w:tabs>
        <w:spacing w:before="120"/>
        <w:ind w:left="1985"/>
      </w:pPr>
      <w:r w:rsidRPr="00D8277A">
        <w:t>Explore and document agreed KSB evidence and generate SMART objectives linking back to Curriculum, AIIR and work role.</w:t>
      </w:r>
      <w:r>
        <w:t xml:space="preserve"> The Annex should be used to capture valuable parts of reflection and recognition of the theme</w:t>
      </w:r>
      <w:r w:rsidR="00347C51">
        <w:t xml:space="preserve"> (linking to STARE activities)</w:t>
      </w:r>
      <w:r w:rsidR="00643F2F">
        <w:t>.  The resulting</w:t>
      </w:r>
      <w:r>
        <w:t xml:space="preserve"> SMART target</w:t>
      </w:r>
      <w:r w:rsidR="00643F2F">
        <w:t>(s) must be</w:t>
      </w:r>
      <w:r>
        <w:t xml:space="preserve"> transposed into the main APR form as an integral part of KSB development.</w:t>
      </w:r>
    </w:p>
    <w:p w14:paraId="583D3967" w14:textId="77777777" w:rsidR="00347C51" w:rsidRDefault="00347C51" w:rsidP="00347C51">
      <w:pPr>
        <w:pStyle w:val="ListParagraph"/>
        <w:tabs>
          <w:tab w:val="left" w:pos="4700"/>
        </w:tabs>
        <w:spacing w:before="120"/>
        <w:ind w:left="1985"/>
      </w:pPr>
    </w:p>
    <w:p w14:paraId="27FD2DEF" w14:textId="0F5586EB" w:rsidR="00185575" w:rsidRDefault="00185575" w:rsidP="00347C51">
      <w:pPr>
        <w:pStyle w:val="ListParagraph"/>
        <w:numPr>
          <w:ilvl w:val="0"/>
          <w:numId w:val="1"/>
        </w:numPr>
        <w:tabs>
          <w:tab w:val="left" w:pos="4700"/>
        </w:tabs>
        <w:spacing w:before="120"/>
        <w:ind w:left="1560" w:hanging="426"/>
      </w:pPr>
      <w:r>
        <w:t xml:space="preserve">After the </w:t>
      </w:r>
      <w:proofErr w:type="gramStart"/>
      <w:r>
        <w:t>APR</w:t>
      </w:r>
      <w:proofErr w:type="gramEnd"/>
      <w:r>
        <w:t xml:space="preserve"> the completed </w:t>
      </w:r>
      <w:r w:rsidR="00643F2F">
        <w:t>t</w:t>
      </w:r>
      <w:r>
        <w:t>hematic Annex Document should be treated as part of the APR evidence base to be included in MAYTAS and used as a base for future reviews.</w:t>
      </w:r>
    </w:p>
    <w:sectPr w:rsidR="00185575" w:rsidSect="007D5159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1260" w:right="640" w:bottom="1660" w:left="420" w:header="708" w:footer="148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orwood, Sam" w:date="2020-11-10T13:01:00Z" w:initials="MS">
    <w:p w14:paraId="402D9EE2" w14:textId="33031D56" w:rsidR="00B9206E" w:rsidRDefault="008130AC" w:rsidP="00643F2F">
      <w:pPr>
        <w:pStyle w:val="NormalWeb"/>
        <w:spacing w:before="0" w:beforeAutospacing="0" w:after="0" w:afterAutospacing="0"/>
      </w:pPr>
      <w:r>
        <w:rPr>
          <w:rStyle w:val="CommentReference"/>
        </w:rPr>
        <w:annotationRef/>
      </w:r>
      <w:r w:rsidR="00643F2F">
        <w:rPr>
          <w:rFonts w:asciiTheme="minorHAnsi" w:hAnsiTheme="minorHAnsi"/>
          <w:color w:val="808080" w:themeColor="background1" w:themeShade="80"/>
          <w:sz w:val="22"/>
          <w:szCs w:val="22"/>
        </w:rPr>
        <w:t>I</w:t>
      </w:r>
      <w:r w:rsidR="00B9206E">
        <w:t>nduction coverage (see AIIR also):</w:t>
      </w:r>
    </w:p>
    <w:p w14:paraId="263A1C32" w14:textId="77777777" w:rsidR="00B9206E" w:rsidRDefault="00B9206E" w:rsidP="00A5440A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Equality Objectives</w:t>
      </w:r>
    </w:p>
    <w:p w14:paraId="755F6A3F" w14:textId="05866E7A" w:rsidR="00B9206E" w:rsidRDefault="00B9206E" w:rsidP="00A5440A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Student Charter</w:t>
      </w:r>
    </w:p>
    <w:p w14:paraId="1148FC84" w14:textId="4693A4F8" w:rsidR="00B9206E" w:rsidRDefault="00B9206E" w:rsidP="00A5440A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Disability Team (and support)</w:t>
      </w:r>
    </w:p>
    <w:p w14:paraId="6C2ED34F" w14:textId="53942515" w:rsidR="008130AC" w:rsidRDefault="008130AC" w:rsidP="009A3452">
      <w:pPr>
        <w:pStyle w:val="NormalWeb"/>
        <w:spacing w:before="0" w:beforeAutospacing="0" w:after="0" w:afterAutospacing="0"/>
        <w:ind w:left="316" w:firstLine="4"/>
        <w:rPr>
          <w:i/>
        </w:rPr>
      </w:pPr>
      <w:r>
        <w:t xml:space="preserve">WBL Coach should </w:t>
      </w:r>
      <w:r w:rsidR="00B9206E">
        <w:t xml:space="preserve">use SEE to </w:t>
      </w:r>
      <w:r>
        <w:t xml:space="preserve">familiarise with Module Learning </w:t>
      </w:r>
      <w:r w:rsidRPr="00D22BFE">
        <w:t>Outcomes</w:t>
      </w:r>
      <w:r w:rsidR="009A3452">
        <w:t xml:space="preserve">, </w:t>
      </w:r>
      <w:proofErr w:type="gramStart"/>
      <w:r w:rsidR="009A3452">
        <w:t>delivery</w:t>
      </w:r>
      <w:proofErr w:type="gramEnd"/>
      <w:r w:rsidR="009A3452">
        <w:t xml:space="preserve"> and assessment, particularly</w:t>
      </w:r>
      <w:r w:rsidR="00B9206E">
        <w:t xml:space="preserve"> content relating to</w:t>
      </w:r>
      <w:r w:rsidR="009A3452">
        <w:t xml:space="preserve"> law, regulations, polic</w:t>
      </w:r>
      <w:r w:rsidR="001001E3">
        <w:t>y</w:t>
      </w:r>
      <w:r w:rsidR="009A3452">
        <w:t xml:space="preserve"> and practice guidance</w:t>
      </w:r>
      <w:r w:rsidR="00B9206E">
        <w:t xml:space="preserve"> for EDI</w:t>
      </w:r>
      <w:r w:rsidR="009A3452">
        <w:t>,</w:t>
      </w:r>
      <w:r w:rsidRPr="00D22BFE">
        <w:t xml:space="preserve"> that </w:t>
      </w:r>
      <w:r w:rsidR="009A3452">
        <w:t>occur in each level of study</w:t>
      </w:r>
      <w:r w:rsidRPr="00D22BFE">
        <w:t xml:space="preserve"> </w:t>
      </w:r>
      <w:r w:rsidRPr="00D22BFE">
        <w:rPr>
          <w:i/>
        </w:rPr>
        <w:t>- offer prompts</w:t>
      </w:r>
      <w:r w:rsidR="00B9206E">
        <w:rPr>
          <w:i/>
        </w:rPr>
        <w:t>.</w:t>
      </w:r>
    </w:p>
    <w:p w14:paraId="54F75A61" w14:textId="7995D160" w:rsidR="00B9206E" w:rsidRDefault="00B9206E" w:rsidP="009A3452">
      <w:pPr>
        <w:pStyle w:val="NormalWeb"/>
        <w:spacing w:before="0" w:beforeAutospacing="0" w:after="0" w:afterAutospacing="0"/>
        <w:ind w:left="316" w:firstLine="4"/>
      </w:pPr>
      <w:r>
        <w:t>Be aware, whether Unconscious Bias has been/will be covered in curriculum</w:t>
      </w:r>
    </w:p>
  </w:comment>
  <w:comment w:id="1" w:author="Moorwood, Sam" w:date="2020-11-10T13:48:00Z" w:initials="MS">
    <w:p w14:paraId="433C97BF" w14:textId="334F7D44" w:rsidR="0093083B" w:rsidRDefault="0093083B" w:rsidP="0093083B">
      <w:pPr>
        <w:pStyle w:val="CommentText"/>
      </w:pPr>
      <w:r>
        <w:rPr>
          <w:rStyle w:val="CommentReference"/>
        </w:rPr>
        <w:annotationRef/>
      </w:r>
      <w:r>
        <w:t>WBLC to use SEE to identify any prior</w:t>
      </w:r>
      <w:r w:rsidR="00D16FAF">
        <w:t>/</w:t>
      </w:r>
      <w:r>
        <w:t xml:space="preserve"> follow up release of AIIR to support reflection.</w:t>
      </w:r>
    </w:p>
    <w:p w14:paraId="2C944AB5" w14:textId="6C2E31E2" w:rsidR="0093083B" w:rsidRDefault="0093083B" w:rsidP="0093083B">
      <w:pPr>
        <w:pStyle w:val="CommentText"/>
      </w:pPr>
      <w:r>
        <w:t>Options in AIIR include:</w:t>
      </w:r>
    </w:p>
    <w:p w14:paraId="69FB2EF0" w14:textId="77777777" w:rsidR="0093083B" w:rsidRDefault="0093083B" w:rsidP="00A5440A">
      <w:pPr>
        <w:pStyle w:val="CommentText"/>
        <w:numPr>
          <w:ilvl w:val="0"/>
          <w:numId w:val="2"/>
        </w:numPr>
      </w:pPr>
      <w:r>
        <w:t>Accessing workplace policy and guidance</w:t>
      </w:r>
    </w:p>
    <w:p w14:paraId="5002BD52" w14:textId="4E2B30C7" w:rsidR="0093083B" w:rsidRDefault="0093083B" w:rsidP="00A5440A">
      <w:pPr>
        <w:pStyle w:val="CommentText"/>
        <w:numPr>
          <w:ilvl w:val="0"/>
          <w:numId w:val="2"/>
        </w:numPr>
      </w:pPr>
      <w:r>
        <w:t>Race video</w:t>
      </w:r>
    </w:p>
    <w:p w14:paraId="117B0DA6" w14:textId="77777777" w:rsidR="0093083B" w:rsidRDefault="0093083B" w:rsidP="00A5440A">
      <w:pPr>
        <w:pStyle w:val="CommentText"/>
        <w:numPr>
          <w:ilvl w:val="0"/>
          <w:numId w:val="2"/>
        </w:numPr>
      </w:pPr>
      <w:r>
        <w:t>Unconscious Bias</w:t>
      </w:r>
    </w:p>
    <w:p w14:paraId="656E7DAB" w14:textId="772F8076" w:rsidR="0093083B" w:rsidRDefault="0093083B" w:rsidP="00A5440A">
      <w:pPr>
        <w:pStyle w:val="CommentText"/>
        <w:numPr>
          <w:ilvl w:val="0"/>
          <w:numId w:val="2"/>
        </w:numPr>
      </w:pPr>
      <w:r>
        <w:t>Positive interventions</w:t>
      </w:r>
    </w:p>
  </w:comment>
  <w:comment w:id="2" w:author="Moorwood, Sam" w:date="2020-10-29T08:54:00Z" w:initials="MS">
    <w:p w14:paraId="72DB76D1" w14:textId="77777777" w:rsidR="00347C51" w:rsidRDefault="00347C51" w:rsidP="00D22BFE">
      <w:pPr>
        <w:pStyle w:val="CommentText"/>
      </w:pPr>
      <w:r>
        <w:rPr>
          <w:rStyle w:val="CommentReference"/>
        </w:rPr>
        <w:annotationRef/>
      </w:r>
      <w:r>
        <w:t xml:space="preserve">E.g. </w:t>
      </w:r>
      <w:r w:rsidRPr="00D22BFE">
        <w:t xml:space="preserve">Consider an Equality Impact Assessment </w:t>
      </w:r>
      <w:r w:rsidRPr="00D22BFE">
        <w:annotationRef/>
      </w:r>
      <w:r w:rsidRPr="00D22BFE">
        <w:t>of your last/next WBL Project</w:t>
      </w:r>
      <w:r>
        <w:t xml:space="preserve"> </w:t>
      </w:r>
    </w:p>
    <w:p w14:paraId="686A366C" w14:textId="625D816E" w:rsidR="00347C51" w:rsidRDefault="00347C51" w:rsidP="00D22BFE">
      <w:pPr>
        <w:pStyle w:val="CommentText"/>
      </w:pPr>
      <w:r>
        <w:t xml:space="preserve">See revised scoping section of the Student-facing Project Guide in AIIR… </w:t>
      </w:r>
      <w:hyperlink r:id="rId1" w:history="1">
        <w:r w:rsidRPr="00387553">
          <w:rPr>
            <w:rStyle w:val="Hyperlink"/>
          </w:rPr>
          <w:t>https://blog.shu.ac.uk/apprenticeship-resources/onboarding/impact-of-workplace-projects/</w:t>
        </w:r>
      </w:hyperlink>
    </w:p>
    <w:p w14:paraId="09A0B97F" w14:textId="77777777" w:rsidR="00347C51" w:rsidRDefault="00347C51" w:rsidP="00D22BFE">
      <w:pPr>
        <w:pStyle w:val="CommentText"/>
      </w:pPr>
    </w:p>
    <w:p w14:paraId="3D74BCC4" w14:textId="4DB6A8DF" w:rsidR="00347C51" w:rsidRDefault="00347C5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F75A61" w15:done="0"/>
  <w15:commentEx w15:paraId="656E7DAB" w15:done="0"/>
  <w15:commentEx w15:paraId="3D74BC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0DA2" w16cex:dateUtc="2020-11-10T13:01:00Z"/>
  <w16cex:commentExtensible w16cex:durableId="235518B3" w16cex:dateUtc="2020-11-10T13:48:00Z"/>
  <w16cex:commentExtensible w16cex:durableId="234501A8" w16cex:dateUtc="2020-10-29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F75A61" w16cid:durableId="23550DA2"/>
  <w16cid:commentId w16cid:paraId="656E7DAB" w16cid:durableId="235518B3"/>
  <w16cid:commentId w16cid:paraId="3D74BCC4" w16cid:durableId="234501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DE040" w14:textId="77777777" w:rsidR="00B4580F" w:rsidRDefault="00B4580F" w:rsidP="006F4EEE">
      <w:pPr>
        <w:spacing w:after="0" w:line="240" w:lineRule="auto"/>
      </w:pPr>
      <w:r>
        <w:separator/>
      </w:r>
    </w:p>
  </w:endnote>
  <w:endnote w:type="continuationSeparator" w:id="0">
    <w:p w14:paraId="6A4211D1" w14:textId="77777777" w:rsidR="00B4580F" w:rsidRDefault="00B4580F" w:rsidP="006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538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1D2DE" w14:textId="77777777" w:rsidR="00C7438E" w:rsidRDefault="00C74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34D97" w14:textId="74471D96" w:rsidR="00C7438E" w:rsidRDefault="00A5440A">
    <w:pPr>
      <w:rPr>
        <w:noProof/>
      </w:rPr>
    </w:pPr>
    <w:fldSimple w:instr=" FILENAME  \* Caps  \* MERGEFORMAT ">
      <w:r w:rsidR="00096127">
        <w:rPr>
          <w:noProof/>
        </w:rPr>
        <w:t xml:space="preserve">Apprenticeship-Progress-Review-Annex Wellbeing </w:t>
      </w:r>
      <w:r w:rsidR="00185575">
        <w:rPr>
          <w:noProof/>
        </w:rPr>
        <w:t>Nov</w:t>
      </w:r>
      <w:r w:rsidR="00096127">
        <w:rPr>
          <w:noProof/>
        </w:rPr>
        <w:t>2020.Docx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E247" w14:textId="77777777" w:rsidR="00C7438E" w:rsidRPr="00FB6058" w:rsidRDefault="00A5440A" w:rsidP="00FB6058">
    <w:pPr>
      <w:pStyle w:val="Footer"/>
    </w:pPr>
    <w:fldSimple w:instr=" FILENAME   \* MERGEFORMAT ">
      <w:r w:rsidR="00096127">
        <w:rPr>
          <w:noProof/>
        </w:rPr>
        <w:t>Apprenticeship-Progress-Review-Annex Wellbeing v16April2020.docx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2B1D" w14:textId="77777777" w:rsidR="00B4580F" w:rsidRDefault="00B4580F" w:rsidP="006F4EEE">
      <w:pPr>
        <w:spacing w:after="0" w:line="240" w:lineRule="auto"/>
      </w:pPr>
      <w:r>
        <w:separator/>
      </w:r>
    </w:p>
  </w:footnote>
  <w:footnote w:type="continuationSeparator" w:id="0">
    <w:p w14:paraId="7673D4B3" w14:textId="77777777" w:rsidR="00B4580F" w:rsidRDefault="00B4580F" w:rsidP="006F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3A39" w14:textId="77777777" w:rsidR="00C7438E" w:rsidRDefault="00C7438E">
    <w:pPr>
      <w:pStyle w:val="Header"/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1DDB324" wp14:editId="312E1B82">
          <wp:extent cx="711200" cy="352328"/>
          <wp:effectExtent l="0" t="0" r="0" b="0"/>
          <wp:docPr id="29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 w:rsidRPr="00FA741F">
      <w:rPr>
        <w:noProof/>
        <w:color w:val="1F497D"/>
        <w:lang w:eastAsia="en-GB"/>
      </w:rPr>
      <w:t xml:space="preserve"> </w:t>
    </w:r>
    <w:r>
      <w:ptab w:relativeTo="margin" w:alignment="right" w:leader="none"/>
    </w:r>
    <w:r>
      <w:t xml:space="preserve"> </w:t>
    </w:r>
  </w:p>
  <w:p w14:paraId="0C4382D6" w14:textId="77777777" w:rsidR="00C7438E" w:rsidRDefault="00C7438E" w:rsidP="00E34CFD">
    <w:pPr>
      <w:tabs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6145" w14:textId="77777777" w:rsidR="00C7438E" w:rsidRDefault="00C7438E" w:rsidP="00FB6058">
    <w:pPr>
      <w:tabs>
        <w:tab w:val="left" w:pos="720"/>
        <w:tab w:val="left" w:pos="1440"/>
        <w:tab w:val="left" w:pos="2160"/>
        <w:tab w:val="left" w:pos="2880"/>
        <w:tab w:val="left" w:pos="7759"/>
      </w:tabs>
      <w:spacing w:after="0" w:line="240" w:lineRule="auto"/>
      <w:rPr>
        <w:lang w:eastAsia="zh-CN"/>
      </w:rPr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50E2233E" wp14:editId="0E6EEA47">
          <wp:extent cx="711200" cy="352328"/>
          <wp:effectExtent l="0" t="0" r="0" b="0"/>
          <wp:docPr id="31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</w:t>
    </w:r>
    <w:r>
      <w:rPr>
        <w:noProof/>
        <w:color w:val="1F497D"/>
        <w:lang w:eastAsia="en-GB"/>
      </w:rPr>
      <w:drawing>
        <wp:inline distT="0" distB="0" distL="0" distR="0" wp14:anchorId="501E56B8" wp14:editId="36F1C223">
          <wp:extent cx="981075" cy="357838"/>
          <wp:effectExtent l="0" t="0" r="0" b="4445"/>
          <wp:docPr id="303" name="Picture 303" descr="cid:image001.jpg@01D56F94.A2C41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56F94.A2C414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990" cy="3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D74"/>
    <w:multiLevelType w:val="hybridMultilevel"/>
    <w:tmpl w:val="798E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4E9B"/>
    <w:multiLevelType w:val="hybridMultilevel"/>
    <w:tmpl w:val="BC64E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9AC"/>
    <w:multiLevelType w:val="hybridMultilevel"/>
    <w:tmpl w:val="C37635E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53E12858"/>
    <w:multiLevelType w:val="hybridMultilevel"/>
    <w:tmpl w:val="FBA0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orwood, Sam">
    <w15:presenceInfo w15:providerId="AD" w15:userId="S::dssm@hallam.shu.ac.uk::78524a98-639a-4b78-ae5a-4c57bc604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683"/>
    <w:rsid w:val="0000138F"/>
    <w:rsid w:val="000031F0"/>
    <w:rsid w:val="00003859"/>
    <w:rsid w:val="0000628E"/>
    <w:rsid w:val="00014B53"/>
    <w:rsid w:val="00020CFD"/>
    <w:rsid w:val="000250F0"/>
    <w:rsid w:val="000268B9"/>
    <w:rsid w:val="00027BBD"/>
    <w:rsid w:val="0003158D"/>
    <w:rsid w:val="000341F8"/>
    <w:rsid w:val="00035511"/>
    <w:rsid w:val="00036CC4"/>
    <w:rsid w:val="0005463C"/>
    <w:rsid w:val="00060015"/>
    <w:rsid w:val="00060E0C"/>
    <w:rsid w:val="00064503"/>
    <w:rsid w:val="00064F8D"/>
    <w:rsid w:val="00066C6E"/>
    <w:rsid w:val="000715FF"/>
    <w:rsid w:val="000827C9"/>
    <w:rsid w:val="0009198E"/>
    <w:rsid w:val="00091EF0"/>
    <w:rsid w:val="00093709"/>
    <w:rsid w:val="000948A8"/>
    <w:rsid w:val="00096127"/>
    <w:rsid w:val="000A02FE"/>
    <w:rsid w:val="000A244E"/>
    <w:rsid w:val="000B1A08"/>
    <w:rsid w:val="000B4C9F"/>
    <w:rsid w:val="000B7522"/>
    <w:rsid w:val="000C1A28"/>
    <w:rsid w:val="000C3F0F"/>
    <w:rsid w:val="000D2ACE"/>
    <w:rsid w:val="000D67BE"/>
    <w:rsid w:val="000E393A"/>
    <w:rsid w:val="000E4AD6"/>
    <w:rsid w:val="000F2A67"/>
    <w:rsid w:val="000F4D4B"/>
    <w:rsid w:val="000F5531"/>
    <w:rsid w:val="000F7267"/>
    <w:rsid w:val="001001E3"/>
    <w:rsid w:val="00104277"/>
    <w:rsid w:val="0010497C"/>
    <w:rsid w:val="0010658E"/>
    <w:rsid w:val="001070FD"/>
    <w:rsid w:val="00115FAA"/>
    <w:rsid w:val="00120E44"/>
    <w:rsid w:val="00122D4B"/>
    <w:rsid w:val="001241F5"/>
    <w:rsid w:val="00124576"/>
    <w:rsid w:val="00127631"/>
    <w:rsid w:val="00134ECB"/>
    <w:rsid w:val="00135A57"/>
    <w:rsid w:val="001370EC"/>
    <w:rsid w:val="00141F6F"/>
    <w:rsid w:val="00142B3B"/>
    <w:rsid w:val="00142E52"/>
    <w:rsid w:val="001452C3"/>
    <w:rsid w:val="001469BB"/>
    <w:rsid w:val="00147F83"/>
    <w:rsid w:val="00162A9C"/>
    <w:rsid w:val="00177B6D"/>
    <w:rsid w:val="001814DE"/>
    <w:rsid w:val="00185575"/>
    <w:rsid w:val="001A4B50"/>
    <w:rsid w:val="001B05CE"/>
    <w:rsid w:val="001C14AC"/>
    <w:rsid w:val="001C6BB4"/>
    <w:rsid w:val="001D06BA"/>
    <w:rsid w:val="001E182B"/>
    <w:rsid w:val="001E38CA"/>
    <w:rsid w:val="001E4E81"/>
    <w:rsid w:val="001E6B4A"/>
    <w:rsid w:val="001F1516"/>
    <w:rsid w:val="001F632B"/>
    <w:rsid w:val="002006EC"/>
    <w:rsid w:val="0020380B"/>
    <w:rsid w:val="002038E1"/>
    <w:rsid w:val="00216902"/>
    <w:rsid w:val="002222E7"/>
    <w:rsid w:val="00227F12"/>
    <w:rsid w:val="00230629"/>
    <w:rsid w:val="00231426"/>
    <w:rsid w:val="00237995"/>
    <w:rsid w:val="00243FFB"/>
    <w:rsid w:val="00246B25"/>
    <w:rsid w:val="0025299C"/>
    <w:rsid w:val="00261D55"/>
    <w:rsid w:val="00264C21"/>
    <w:rsid w:val="002661E3"/>
    <w:rsid w:val="00266360"/>
    <w:rsid w:val="002746DC"/>
    <w:rsid w:val="002768E2"/>
    <w:rsid w:val="00280C00"/>
    <w:rsid w:val="00283BBF"/>
    <w:rsid w:val="002870FD"/>
    <w:rsid w:val="00287D15"/>
    <w:rsid w:val="00292D80"/>
    <w:rsid w:val="00293844"/>
    <w:rsid w:val="00296F7E"/>
    <w:rsid w:val="00297C7C"/>
    <w:rsid w:val="002A056A"/>
    <w:rsid w:val="002A192B"/>
    <w:rsid w:val="002A1EE6"/>
    <w:rsid w:val="002A279B"/>
    <w:rsid w:val="002B19A9"/>
    <w:rsid w:val="002B4943"/>
    <w:rsid w:val="002B49AE"/>
    <w:rsid w:val="002D6768"/>
    <w:rsid w:val="002E250D"/>
    <w:rsid w:val="002E3FDA"/>
    <w:rsid w:val="002E4D83"/>
    <w:rsid w:val="002E67FD"/>
    <w:rsid w:val="002F0AF7"/>
    <w:rsid w:val="002F3F01"/>
    <w:rsid w:val="002F3FD5"/>
    <w:rsid w:val="00306233"/>
    <w:rsid w:val="00306DDA"/>
    <w:rsid w:val="00310B8E"/>
    <w:rsid w:val="003115A7"/>
    <w:rsid w:val="003173CF"/>
    <w:rsid w:val="00317B85"/>
    <w:rsid w:val="00320691"/>
    <w:rsid w:val="003242AE"/>
    <w:rsid w:val="00330068"/>
    <w:rsid w:val="00331C3C"/>
    <w:rsid w:val="00336626"/>
    <w:rsid w:val="0034557D"/>
    <w:rsid w:val="00347C51"/>
    <w:rsid w:val="003522BC"/>
    <w:rsid w:val="0035307B"/>
    <w:rsid w:val="00354402"/>
    <w:rsid w:val="00361910"/>
    <w:rsid w:val="003646D5"/>
    <w:rsid w:val="00367751"/>
    <w:rsid w:val="003749CC"/>
    <w:rsid w:val="00376F92"/>
    <w:rsid w:val="003838E5"/>
    <w:rsid w:val="00391309"/>
    <w:rsid w:val="00392791"/>
    <w:rsid w:val="003940CA"/>
    <w:rsid w:val="00395655"/>
    <w:rsid w:val="003975FB"/>
    <w:rsid w:val="0039791F"/>
    <w:rsid w:val="003A0210"/>
    <w:rsid w:val="003A0D10"/>
    <w:rsid w:val="003A0D3F"/>
    <w:rsid w:val="003A3787"/>
    <w:rsid w:val="003A378B"/>
    <w:rsid w:val="003A3812"/>
    <w:rsid w:val="003B72C4"/>
    <w:rsid w:val="003C1219"/>
    <w:rsid w:val="003C21D9"/>
    <w:rsid w:val="003C36D1"/>
    <w:rsid w:val="003C37D4"/>
    <w:rsid w:val="003C3AA4"/>
    <w:rsid w:val="003C45B8"/>
    <w:rsid w:val="003D07FC"/>
    <w:rsid w:val="003D0EC5"/>
    <w:rsid w:val="003D4216"/>
    <w:rsid w:val="003E1ACD"/>
    <w:rsid w:val="003F0707"/>
    <w:rsid w:val="003F70CE"/>
    <w:rsid w:val="004014AD"/>
    <w:rsid w:val="00404BD2"/>
    <w:rsid w:val="00407BD2"/>
    <w:rsid w:val="004129E3"/>
    <w:rsid w:val="0041471E"/>
    <w:rsid w:val="00416E84"/>
    <w:rsid w:val="00423028"/>
    <w:rsid w:val="00426A76"/>
    <w:rsid w:val="00432683"/>
    <w:rsid w:val="00435536"/>
    <w:rsid w:val="00437933"/>
    <w:rsid w:val="00440C4D"/>
    <w:rsid w:val="00443787"/>
    <w:rsid w:val="004504EE"/>
    <w:rsid w:val="004513B1"/>
    <w:rsid w:val="00460E65"/>
    <w:rsid w:val="0046620C"/>
    <w:rsid w:val="00473970"/>
    <w:rsid w:val="00480BD3"/>
    <w:rsid w:val="00485AEE"/>
    <w:rsid w:val="0049486E"/>
    <w:rsid w:val="00497DF1"/>
    <w:rsid w:val="004A5B70"/>
    <w:rsid w:val="004A6D28"/>
    <w:rsid w:val="004A7FC2"/>
    <w:rsid w:val="004B28B0"/>
    <w:rsid w:val="004B5A22"/>
    <w:rsid w:val="004C0DBC"/>
    <w:rsid w:val="004C19D0"/>
    <w:rsid w:val="004C1F3D"/>
    <w:rsid w:val="004C4184"/>
    <w:rsid w:val="004C4F2F"/>
    <w:rsid w:val="004C5ED2"/>
    <w:rsid w:val="004C79A7"/>
    <w:rsid w:val="004D5A0C"/>
    <w:rsid w:val="004D69A4"/>
    <w:rsid w:val="004E17C1"/>
    <w:rsid w:val="004E3088"/>
    <w:rsid w:val="004E4CB0"/>
    <w:rsid w:val="004F1982"/>
    <w:rsid w:val="004F7EB3"/>
    <w:rsid w:val="00502197"/>
    <w:rsid w:val="0050350B"/>
    <w:rsid w:val="00505F1D"/>
    <w:rsid w:val="00510E28"/>
    <w:rsid w:val="005174E4"/>
    <w:rsid w:val="005206A8"/>
    <w:rsid w:val="00521849"/>
    <w:rsid w:val="005218A7"/>
    <w:rsid w:val="00526A28"/>
    <w:rsid w:val="005319AD"/>
    <w:rsid w:val="005321DD"/>
    <w:rsid w:val="00537929"/>
    <w:rsid w:val="0054179B"/>
    <w:rsid w:val="0054434F"/>
    <w:rsid w:val="00544B9C"/>
    <w:rsid w:val="00555C51"/>
    <w:rsid w:val="00555D1B"/>
    <w:rsid w:val="00562B23"/>
    <w:rsid w:val="00563281"/>
    <w:rsid w:val="00570608"/>
    <w:rsid w:val="00581044"/>
    <w:rsid w:val="0058219C"/>
    <w:rsid w:val="00582486"/>
    <w:rsid w:val="00587B07"/>
    <w:rsid w:val="005910D3"/>
    <w:rsid w:val="00591660"/>
    <w:rsid w:val="00592493"/>
    <w:rsid w:val="00594506"/>
    <w:rsid w:val="0059488F"/>
    <w:rsid w:val="00594F3A"/>
    <w:rsid w:val="00596828"/>
    <w:rsid w:val="005A1C9E"/>
    <w:rsid w:val="005A63E7"/>
    <w:rsid w:val="005B191C"/>
    <w:rsid w:val="005B3AAC"/>
    <w:rsid w:val="005C1F6A"/>
    <w:rsid w:val="005C2490"/>
    <w:rsid w:val="005C6A46"/>
    <w:rsid w:val="005D1545"/>
    <w:rsid w:val="005E0AC4"/>
    <w:rsid w:val="005E5C5B"/>
    <w:rsid w:val="005E7535"/>
    <w:rsid w:val="005E7D6C"/>
    <w:rsid w:val="005F211A"/>
    <w:rsid w:val="005F27FA"/>
    <w:rsid w:val="00601CA5"/>
    <w:rsid w:val="00602E33"/>
    <w:rsid w:val="00604847"/>
    <w:rsid w:val="00614449"/>
    <w:rsid w:val="00614B2C"/>
    <w:rsid w:val="0062035A"/>
    <w:rsid w:val="00624184"/>
    <w:rsid w:val="00630454"/>
    <w:rsid w:val="00631117"/>
    <w:rsid w:val="0063298E"/>
    <w:rsid w:val="00641D0D"/>
    <w:rsid w:val="00643F2F"/>
    <w:rsid w:val="006505AF"/>
    <w:rsid w:val="00650AD1"/>
    <w:rsid w:val="00650E03"/>
    <w:rsid w:val="00652AAA"/>
    <w:rsid w:val="006563E1"/>
    <w:rsid w:val="00661CEA"/>
    <w:rsid w:val="006637A5"/>
    <w:rsid w:val="006639EA"/>
    <w:rsid w:val="0066462C"/>
    <w:rsid w:val="00666527"/>
    <w:rsid w:val="006766FA"/>
    <w:rsid w:val="00676A1A"/>
    <w:rsid w:val="006825B3"/>
    <w:rsid w:val="00683341"/>
    <w:rsid w:val="00683F7B"/>
    <w:rsid w:val="006849C6"/>
    <w:rsid w:val="00684ECB"/>
    <w:rsid w:val="006855E2"/>
    <w:rsid w:val="00686E8F"/>
    <w:rsid w:val="006A1ED8"/>
    <w:rsid w:val="006A4DE5"/>
    <w:rsid w:val="006A7F2D"/>
    <w:rsid w:val="006B068F"/>
    <w:rsid w:val="006B4B46"/>
    <w:rsid w:val="006B6218"/>
    <w:rsid w:val="006C0A2F"/>
    <w:rsid w:val="006C1B77"/>
    <w:rsid w:val="006C3059"/>
    <w:rsid w:val="006C4193"/>
    <w:rsid w:val="006C53BF"/>
    <w:rsid w:val="006C6D26"/>
    <w:rsid w:val="006C780C"/>
    <w:rsid w:val="006D0109"/>
    <w:rsid w:val="006D25AF"/>
    <w:rsid w:val="006D4707"/>
    <w:rsid w:val="006E6492"/>
    <w:rsid w:val="006F4EEE"/>
    <w:rsid w:val="00700C24"/>
    <w:rsid w:val="00700F5C"/>
    <w:rsid w:val="00703911"/>
    <w:rsid w:val="0071223E"/>
    <w:rsid w:val="007122A2"/>
    <w:rsid w:val="007151C0"/>
    <w:rsid w:val="00717331"/>
    <w:rsid w:val="00721EC2"/>
    <w:rsid w:val="00723D18"/>
    <w:rsid w:val="007250C7"/>
    <w:rsid w:val="00726966"/>
    <w:rsid w:val="00726FD0"/>
    <w:rsid w:val="0073125E"/>
    <w:rsid w:val="00732047"/>
    <w:rsid w:val="00733909"/>
    <w:rsid w:val="00741F57"/>
    <w:rsid w:val="00744B78"/>
    <w:rsid w:val="00745E11"/>
    <w:rsid w:val="00751494"/>
    <w:rsid w:val="00762FAD"/>
    <w:rsid w:val="007633BA"/>
    <w:rsid w:val="007674EA"/>
    <w:rsid w:val="0077234D"/>
    <w:rsid w:val="00772C79"/>
    <w:rsid w:val="00787175"/>
    <w:rsid w:val="00787502"/>
    <w:rsid w:val="0079457A"/>
    <w:rsid w:val="007945BB"/>
    <w:rsid w:val="007A1276"/>
    <w:rsid w:val="007A16F3"/>
    <w:rsid w:val="007A217A"/>
    <w:rsid w:val="007A5BA6"/>
    <w:rsid w:val="007A6F32"/>
    <w:rsid w:val="007B7DED"/>
    <w:rsid w:val="007C6E65"/>
    <w:rsid w:val="007D5159"/>
    <w:rsid w:val="007D5CF6"/>
    <w:rsid w:val="007D7F70"/>
    <w:rsid w:val="007E21EB"/>
    <w:rsid w:val="007E5667"/>
    <w:rsid w:val="007F2227"/>
    <w:rsid w:val="007F26EB"/>
    <w:rsid w:val="007F70CC"/>
    <w:rsid w:val="007F72DD"/>
    <w:rsid w:val="007F7D97"/>
    <w:rsid w:val="008007BC"/>
    <w:rsid w:val="00801A34"/>
    <w:rsid w:val="008043C3"/>
    <w:rsid w:val="008051EF"/>
    <w:rsid w:val="008107E4"/>
    <w:rsid w:val="008130AC"/>
    <w:rsid w:val="00814288"/>
    <w:rsid w:val="00815911"/>
    <w:rsid w:val="00816FA0"/>
    <w:rsid w:val="00827330"/>
    <w:rsid w:val="00831B80"/>
    <w:rsid w:val="00836B87"/>
    <w:rsid w:val="00843650"/>
    <w:rsid w:val="00852375"/>
    <w:rsid w:val="00854CFC"/>
    <w:rsid w:val="00862340"/>
    <w:rsid w:val="00862E48"/>
    <w:rsid w:val="0086533E"/>
    <w:rsid w:val="00865485"/>
    <w:rsid w:val="008662CD"/>
    <w:rsid w:val="0087106C"/>
    <w:rsid w:val="00871B59"/>
    <w:rsid w:val="00881D22"/>
    <w:rsid w:val="0088529D"/>
    <w:rsid w:val="00897F74"/>
    <w:rsid w:val="008A0719"/>
    <w:rsid w:val="008A7002"/>
    <w:rsid w:val="008A7D1A"/>
    <w:rsid w:val="008B3799"/>
    <w:rsid w:val="008B6241"/>
    <w:rsid w:val="008B6E92"/>
    <w:rsid w:val="008B780A"/>
    <w:rsid w:val="008C4DDB"/>
    <w:rsid w:val="008C7B9A"/>
    <w:rsid w:val="008D501F"/>
    <w:rsid w:val="008D72F7"/>
    <w:rsid w:val="008E5970"/>
    <w:rsid w:val="008E7555"/>
    <w:rsid w:val="008F067E"/>
    <w:rsid w:val="00904A5F"/>
    <w:rsid w:val="0090505D"/>
    <w:rsid w:val="009067F2"/>
    <w:rsid w:val="00910DE9"/>
    <w:rsid w:val="00914585"/>
    <w:rsid w:val="00917B23"/>
    <w:rsid w:val="00922901"/>
    <w:rsid w:val="00925C37"/>
    <w:rsid w:val="0093083B"/>
    <w:rsid w:val="00931789"/>
    <w:rsid w:val="0093260D"/>
    <w:rsid w:val="009331FB"/>
    <w:rsid w:val="00944058"/>
    <w:rsid w:val="0095617B"/>
    <w:rsid w:val="00956683"/>
    <w:rsid w:val="00956AD5"/>
    <w:rsid w:val="00962AC4"/>
    <w:rsid w:val="00966383"/>
    <w:rsid w:val="00966B0D"/>
    <w:rsid w:val="00975B51"/>
    <w:rsid w:val="009803F2"/>
    <w:rsid w:val="00981DEB"/>
    <w:rsid w:val="00982655"/>
    <w:rsid w:val="00982D7F"/>
    <w:rsid w:val="00983088"/>
    <w:rsid w:val="00990CD3"/>
    <w:rsid w:val="00994951"/>
    <w:rsid w:val="009A1374"/>
    <w:rsid w:val="009A3452"/>
    <w:rsid w:val="009A345E"/>
    <w:rsid w:val="009A7F11"/>
    <w:rsid w:val="009B1C76"/>
    <w:rsid w:val="009B322D"/>
    <w:rsid w:val="009B3CA3"/>
    <w:rsid w:val="009B5F3A"/>
    <w:rsid w:val="009C1457"/>
    <w:rsid w:val="009C21F9"/>
    <w:rsid w:val="009C4187"/>
    <w:rsid w:val="009C554F"/>
    <w:rsid w:val="009C6FE8"/>
    <w:rsid w:val="009C7BFA"/>
    <w:rsid w:val="009D0212"/>
    <w:rsid w:val="009D10B2"/>
    <w:rsid w:val="009D3826"/>
    <w:rsid w:val="009E35AC"/>
    <w:rsid w:val="009F03E9"/>
    <w:rsid w:val="009F2117"/>
    <w:rsid w:val="009F5C9B"/>
    <w:rsid w:val="009F6B2A"/>
    <w:rsid w:val="00A01C12"/>
    <w:rsid w:val="00A059DD"/>
    <w:rsid w:val="00A139B9"/>
    <w:rsid w:val="00A13E5C"/>
    <w:rsid w:val="00A220D4"/>
    <w:rsid w:val="00A27CA5"/>
    <w:rsid w:val="00A30722"/>
    <w:rsid w:val="00A34B2E"/>
    <w:rsid w:val="00A374AE"/>
    <w:rsid w:val="00A43428"/>
    <w:rsid w:val="00A4351C"/>
    <w:rsid w:val="00A506C2"/>
    <w:rsid w:val="00A51C1F"/>
    <w:rsid w:val="00A5329E"/>
    <w:rsid w:val="00A5440A"/>
    <w:rsid w:val="00A57D67"/>
    <w:rsid w:val="00A715C0"/>
    <w:rsid w:val="00A73976"/>
    <w:rsid w:val="00A73E01"/>
    <w:rsid w:val="00A82CAE"/>
    <w:rsid w:val="00A84C80"/>
    <w:rsid w:val="00A85168"/>
    <w:rsid w:val="00A90B1F"/>
    <w:rsid w:val="00A91AC0"/>
    <w:rsid w:val="00A92D11"/>
    <w:rsid w:val="00A96318"/>
    <w:rsid w:val="00A97E33"/>
    <w:rsid w:val="00AA1FA1"/>
    <w:rsid w:val="00AA2F23"/>
    <w:rsid w:val="00AA318F"/>
    <w:rsid w:val="00AA40DD"/>
    <w:rsid w:val="00AA43AD"/>
    <w:rsid w:val="00AB0F1B"/>
    <w:rsid w:val="00AB142D"/>
    <w:rsid w:val="00AB1C6E"/>
    <w:rsid w:val="00AB42E1"/>
    <w:rsid w:val="00AB52B5"/>
    <w:rsid w:val="00AB60B8"/>
    <w:rsid w:val="00AC36A4"/>
    <w:rsid w:val="00AC4735"/>
    <w:rsid w:val="00AD2C34"/>
    <w:rsid w:val="00AD647D"/>
    <w:rsid w:val="00AE18EA"/>
    <w:rsid w:val="00AE1A5E"/>
    <w:rsid w:val="00AE281E"/>
    <w:rsid w:val="00AF0C6C"/>
    <w:rsid w:val="00B0295C"/>
    <w:rsid w:val="00B062BE"/>
    <w:rsid w:val="00B06826"/>
    <w:rsid w:val="00B13740"/>
    <w:rsid w:val="00B13D88"/>
    <w:rsid w:val="00B15A26"/>
    <w:rsid w:val="00B2132B"/>
    <w:rsid w:val="00B22C1E"/>
    <w:rsid w:val="00B36EBB"/>
    <w:rsid w:val="00B42027"/>
    <w:rsid w:val="00B4308A"/>
    <w:rsid w:val="00B4580F"/>
    <w:rsid w:val="00B63B39"/>
    <w:rsid w:val="00B67E5F"/>
    <w:rsid w:val="00B75844"/>
    <w:rsid w:val="00B76B41"/>
    <w:rsid w:val="00B80316"/>
    <w:rsid w:val="00B8196D"/>
    <w:rsid w:val="00B822DA"/>
    <w:rsid w:val="00B91374"/>
    <w:rsid w:val="00B9206E"/>
    <w:rsid w:val="00B92162"/>
    <w:rsid w:val="00B95D9A"/>
    <w:rsid w:val="00BA1022"/>
    <w:rsid w:val="00BB0A63"/>
    <w:rsid w:val="00BB3D3B"/>
    <w:rsid w:val="00BC05B3"/>
    <w:rsid w:val="00BC482E"/>
    <w:rsid w:val="00BC6933"/>
    <w:rsid w:val="00BC7019"/>
    <w:rsid w:val="00BC7E38"/>
    <w:rsid w:val="00BD0A91"/>
    <w:rsid w:val="00BD45A8"/>
    <w:rsid w:val="00BD6387"/>
    <w:rsid w:val="00BD766A"/>
    <w:rsid w:val="00BD7BB5"/>
    <w:rsid w:val="00BE0AE9"/>
    <w:rsid w:val="00BE6658"/>
    <w:rsid w:val="00BE6BD3"/>
    <w:rsid w:val="00BF4C2D"/>
    <w:rsid w:val="00BF5BD9"/>
    <w:rsid w:val="00BF7F93"/>
    <w:rsid w:val="00C0161F"/>
    <w:rsid w:val="00C036DB"/>
    <w:rsid w:val="00C15917"/>
    <w:rsid w:val="00C17FB3"/>
    <w:rsid w:val="00C278FB"/>
    <w:rsid w:val="00C30E68"/>
    <w:rsid w:val="00C310A3"/>
    <w:rsid w:val="00C3180C"/>
    <w:rsid w:val="00C3225B"/>
    <w:rsid w:val="00C36F29"/>
    <w:rsid w:val="00C501C6"/>
    <w:rsid w:val="00C506A6"/>
    <w:rsid w:val="00C549E3"/>
    <w:rsid w:val="00C71F9E"/>
    <w:rsid w:val="00C7438E"/>
    <w:rsid w:val="00C8158B"/>
    <w:rsid w:val="00C81F94"/>
    <w:rsid w:val="00C87BC8"/>
    <w:rsid w:val="00C90A88"/>
    <w:rsid w:val="00C93ED3"/>
    <w:rsid w:val="00C94FC2"/>
    <w:rsid w:val="00CA1AC1"/>
    <w:rsid w:val="00CA262D"/>
    <w:rsid w:val="00CA3922"/>
    <w:rsid w:val="00CA3CFE"/>
    <w:rsid w:val="00CA3F9F"/>
    <w:rsid w:val="00CA77F3"/>
    <w:rsid w:val="00CB5D44"/>
    <w:rsid w:val="00CB6E69"/>
    <w:rsid w:val="00CC1354"/>
    <w:rsid w:val="00CC34BC"/>
    <w:rsid w:val="00CC4675"/>
    <w:rsid w:val="00CD155B"/>
    <w:rsid w:val="00CE4252"/>
    <w:rsid w:val="00CE5469"/>
    <w:rsid w:val="00CE6524"/>
    <w:rsid w:val="00CE6D76"/>
    <w:rsid w:val="00CF0B61"/>
    <w:rsid w:val="00CF1962"/>
    <w:rsid w:val="00CF60A6"/>
    <w:rsid w:val="00D0068E"/>
    <w:rsid w:val="00D01F83"/>
    <w:rsid w:val="00D0408E"/>
    <w:rsid w:val="00D112BB"/>
    <w:rsid w:val="00D1283C"/>
    <w:rsid w:val="00D1496A"/>
    <w:rsid w:val="00D14D8D"/>
    <w:rsid w:val="00D1611A"/>
    <w:rsid w:val="00D16FAF"/>
    <w:rsid w:val="00D20855"/>
    <w:rsid w:val="00D22BFE"/>
    <w:rsid w:val="00D25503"/>
    <w:rsid w:val="00D25AD4"/>
    <w:rsid w:val="00D26B6C"/>
    <w:rsid w:val="00D34A04"/>
    <w:rsid w:val="00D352EC"/>
    <w:rsid w:val="00D468D1"/>
    <w:rsid w:val="00D514C2"/>
    <w:rsid w:val="00D53CD1"/>
    <w:rsid w:val="00D62E49"/>
    <w:rsid w:val="00D64785"/>
    <w:rsid w:val="00D67231"/>
    <w:rsid w:val="00D67388"/>
    <w:rsid w:val="00D70553"/>
    <w:rsid w:val="00D74678"/>
    <w:rsid w:val="00D7486B"/>
    <w:rsid w:val="00D77466"/>
    <w:rsid w:val="00D8058B"/>
    <w:rsid w:val="00D82466"/>
    <w:rsid w:val="00D8277A"/>
    <w:rsid w:val="00D83A3F"/>
    <w:rsid w:val="00D90327"/>
    <w:rsid w:val="00D91CA8"/>
    <w:rsid w:val="00D968EC"/>
    <w:rsid w:val="00DB0BC4"/>
    <w:rsid w:val="00DB25B4"/>
    <w:rsid w:val="00DC1104"/>
    <w:rsid w:val="00DC1585"/>
    <w:rsid w:val="00DC3398"/>
    <w:rsid w:val="00DC3A01"/>
    <w:rsid w:val="00DC4437"/>
    <w:rsid w:val="00DC678F"/>
    <w:rsid w:val="00DD29C5"/>
    <w:rsid w:val="00DE028F"/>
    <w:rsid w:val="00DE1D5D"/>
    <w:rsid w:val="00DE34E6"/>
    <w:rsid w:val="00DF2EA9"/>
    <w:rsid w:val="00E01FF2"/>
    <w:rsid w:val="00E072F2"/>
    <w:rsid w:val="00E12E91"/>
    <w:rsid w:val="00E13380"/>
    <w:rsid w:val="00E14203"/>
    <w:rsid w:val="00E151CF"/>
    <w:rsid w:val="00E16C39"/>
    <w:rsid w:val="00E232BE"/>
    <w:rsid w:val="00E34CFD"/>
    <w:rsid w:val="00E37455"/>
    <w:rsid w:val="00E40083"/>
    <w:rsid w:val="00E410B0"/>
    <w:rsid w:val="00E42134"/>
    <w:rsid w:val="00E42461"/>
    <w:rsid w:val="00E44153"/>
    <w:rsid w:val="00E44667"/>
    <w:rsid w:val="00E46FEA"/>
    <w:rsid w:val="00E47768"/>
    <w:rsid w:val="00E54B56"/>
    <w:rsid w:val="00E56967"/>
    <w:rsid w:val="00E63746"/>
    <w:rsid w:val="00E64787"/>
    <w:rsid w:val="00E654B7"/>
    <w:rsid w:val="00E66B93"/>
    <w:rsid w:val="00E84653"/>
    <w:rsid w:val="00E869F8"/>
    <w:rsid w:val="00E922BE"/>
    <w:rsid w:val="00E96A94"/>
    <w:rsid w:val="00E97FCD"/>
    <w:rsid w:val="00EA1082"/>
    <w:rsid w:val="00EA7E0E"/>
    <w:rsid w:val="00EB2670"/>
    <w:rsid w:val="00EB63DA"/>
    <w:rsid w:val="00EC7086"/>
    <w:rsid w:val="00EC7AEF"/>
    <w:rsid w:val="00ED3D3D"/>
    <w:rsid w:val="00ED3D8C"/>
    <w:rsid w:val="00ED3F0E"/>
    <w:rsid w:val="00ED4542"/>
    <w:rsid w:val="00ED5B3A"/>
    <w:rsid w:val="00ED7430"/>
    <w:rsid w:val="00EE2E89"/>
    <w:rsid w:val="00EF03F3"/>
    <w:rsid w:val="00EF510B"/>
    <w:rsid w:val="00EF5AC7"/>
    <w:rsid w:val="00F00F37"/>
    <w:rsid w:val="00F0321E"/>
    <w:rsid w:val="00F117FF"/>
    <w:rsid w:val="00F268D6"/>
    <w:rsid w:val="00F269B2"/>
    <w:rsid w:val="00F31A71"/>
    <w:rsid w:val="00F35913"/>
    <w:rsid w:val="00F413D1"/>
    <w:rsid w:val="00F42447"/>
    <w:rsid w:val="00F43F2E"/>
    <w:rsid w:val="00F47017"/>
    <w:rsid w:val="00F53DEA"/>
    <w:rsid w:val="00F548BE"/>
    <w:rsid w:val="00F60F51"/>
    <w:rsid w:val="00F61FA3"/>
    <w:rsid w:val="00F6596D"/>
    <w:rsid w:val="00F770D2"/>
    <w:rsid w:val="00F811B1"/>
    <w:rsid w:val="00F82483"/>
    <w:rsid w:val="00F87C36"/>
    <w:rsid w:val="00F912CC"/>
    <w:rsid w:val="00F919CC"/>
    <w:rsid w:val="00F92046"/>
    <w:rsid w:val="00F93915"/>
    <w:rsid w:val="00F93C91"/>
    <w:rsid w:val="00FA2855"/>
    <w:rsid w:val="00FA67C3"/>
    <w:rsid w:val="00FA741F"/>
    <w:rsid w:val="00FB4660"/>
    <w:rsid w:val="00FB6058"/>
    <w:rsid w:val="00FB720F"/>
    <w:rsid w:val="00FC267E"/>
    <w:rsid w:val="00FC4031"/>
    <w:rsid w:val="00FC4F82"/>
    <w:rsid w:val="00FD2AFC"/>
    <w:rsid w:val="00FD3952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79AA3"/>
  <w15:docId w15:val="{E39EBB6C-B082-4F88-B65B-ACF87EE6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2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1287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762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036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452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shu.ac.uk/apprenticeship-resources/onboarding/impact-of-workplace-project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sheffieldhallam.sharepoint.com/sites/3043/int/beg/wbl/SitePages/Work-Based-Coach-Area.aspx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google.co.uk/url?sa=i&amp;rct=j&amp;q=&amp;esrc=s&amp;source=images&amp;cd=&amp;cad=rja&amp;uact=8&amp;ved=0ahUKEwj65ZDvubPWAhVKCcAKHRl8Cx8QjRwIBw&amp;url=http://www.skillsandlearningbdp.co.uk/esfa-logo/&amp;psig=AFQjCNGXxA553aEg3ou0gqBwXIS2sonQmQ&amp;ust=1505986186109357" TargetMode="External"/><Relationship Id="rId17" Type="http://schemas.microsoft.com/office/2018/08/relationships/commentsExtensible" Target="commentsExtensible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https://blog.shu.ac.uk/apprenticeship-resources/equality-diversity-and-inclusion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sheffieldhallam.sharepoint.com/sites/3043/int/beg/wbl/SitePages/Work-Based-Coach-Area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9BAE.B843BF0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2019-11-01T00:00:00</PublishDate>
  <Abstract>This refreshed version, February 2020 is a second working version reflecting early implementation of actions identified in the University's Quality Improvement Plan.  This will be reviewed and refined following feedback and through ongoing implementation.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789A3033655479DE493303F06240A" ma:contentTypeVersion="8" ma:contentTypeDescription="Create a new document." ma:contentTypeScope="" ma:versionID="7c3f8593113cb80a566388fba0de0004">
  <xsd:schema xmlns:xsd="http://www.w3.org/2001/XMLSchema" xmlns:xs="http://www.w3.org/2001/XMLSchema" xmlns:p="http://schemas.microsoft.com/office/2006/metadata/properties" xmlns:ns3="b451fd21-e673-40ba-8b43-f4327122434a" xmlns:ns4="bf047032-4267-432c-98f6-6cbde39bb2fe" targetNamespace="http://schemas.microsoft.com/office/2006/metadata/properties" ma:root="true" ma:fieldsID="0235528362529822073f8c4f566fddb4" ns3:_="" ns4:_="">
    <xsd:import namespace="b451fd21-e673-40ba-8b43-f4327122434a"/>
    <xsd:import namespace="bf047032-4267-432c-98f6-6cbde39bb2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fd21-e673-40ba-8b43-f4327122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47032-4267-432c-98f6-6cbde39bb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AC64EB-58C3-444B-8978-4DAC4FCB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1fd21-e673-40ba-8b43-f4327122434a"/>
    <ds:schemaRef ds:uri="bf047032-4267-432c-98f6-6cbde39bb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721D1-2F9B-472F-B345-852182D80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76A500-6BAB-44C0-B87C-6A97A4247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EF4DE6A-997E-4404-A9F8-C1E85E5AE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Guide</vt:lpstr>
    </vt:vector>
  </TitlesOfParts>
  <Company>Sheffield Hallam University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Guide</dc:title>
  <dc:subject>A Handbook for Apprenticeship Course Leaders, Work Based Learning Coaches and the delivery team</dc:subject>
  <dc:creator>FEBRUARY 2020</dc:creator>
  <cp:lastModifiedBy>Moorwood, Sam</cp:lastModifiedBy>
  <cp:revision>8</cp:revision>
  <cp:lastPrinted>2020-02-04T16:07:00Z</cp:lastPrinted>
  <dcterms:created xsi:type="dcterms:W3CDTF">2020-11-10T12:56:00Z</dcterms:created>
  <dcterms:modified xsi:type="dcterms:W3CDTF">2020-11-11T09:42:00Z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0x0101001EB789A3033655479DE493303F06240A</vt:lpwstr>
  </property>
</Properties>
</file>