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D2" w:rsidRDefault="00BB5AD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Higher and Degree Apprenticeships</w:t>
      </w:r>
    </w:p>
    <w:p w:rsidR="006E4474" w:rsidRPr="000C2BDB" w:rsidRDefault="00BB5AD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Sheffield Hallam University </w:t>
      </w:r>
      <w:r w:rsidR="002C017F">
        <w:rPr>
          <w:b/>
          <w:bCs/>
          <w:color w:val="C00000"/>
          <w:sz w:val="28"/>
          <w:szCs w:val="28"/>
        </w:rPr>
        <w:t xml:space="preserve">- </w:t>
      </w:r>
      <w:r w:rsidR="00520D38" w:rsidRPr="00BB5AD2">
        <w:rPr>
          <w:b/>
          <w:bCs/>
          <w:color w:val="C00000"/>
          <w:sz w:val="28"/>
          <w:szCs w:val="28"/>
        </w:rPr>
        <w:t xml:space="preserve">Compliance </w:t>
      </w:r>
      <w:r>
        <w:rPr>
          <w:b/>
          <w:bCs/>
          <w:color w:val="C00000"/>
          <w:sz w:val="28"/>
          <w:szCs w:val="28"/>
        </w:rPr>
        <w:t>C</w:t>
      </w:r>
      <w:r w:rsidR="000C2BDB" w:rsidRPr="00BB5AD2">
        <w:rPr>
          <w:b/>
          <w:bCs/>
          <w:color w:val="C00000"/>
          <w:sz w:val="28"/>
          <w:szCs w:val="28"/>
        </w:rPr>
        <w:t>hecklist</w:t>
      </w:r>
      <w:r>
        <w:rPr>
          <w:b/>
          <w:bCs/>
          <w:color w:val="C00000"/>
          <w:sz w:val="28"/>
          <w:szCs w:val="28"/>
        </w:rPr>
        <w:t xml:space="preserve"> for staff Delivering Courses</w:t>
      </w:r>
    </w:p>
    <w:p w:rsidR="005663F9" w:rsidRDefault="00566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  <w:gridCol w:w="2552"/>
      </w:tblGrid>
      <w:tr w:rsidR="000C2BDB" w:rsidTr="008C04C6">
        <w:tc>
          <w:tcPr>
            <w:tcW w:w="15276" w:type="dxa"/>
            <w:gridSpan w:val="2"/>
            <w:shd w:val="clear" w:color="auto" w:fill="D9D9D9" w:themeFill="background1" w:themeFillShade="D9"/>
          </w:tcPr>
          <w:p w:rsidR="000C2BDB" w:rsidRDefault="000C2BDB" w:rsidP="000C2BDB">
            <w:r w:rsidRPr="000C2BDB">
              <w:rPr>
                <w:b/>
                <w:bCs/>
              </w:rPr>
              <w:t>Initial student eligibility</w:t>
            </w:r>
            <w:r>
              <w:rPr>
                <w:b/>
                <w:bCs/>
              </w:rPr>
              <w:t xml:space="preserve"> </w:t>
            </w:r>
            <w:r w:rsidRPr="000C2BDB">
              <w:rPr>
                <w:b/>
                <w:bCs/>
              </w:rPr>
              <w:t>criteria must be set</w:t>
            </w:r>
            <w:r w:rsidR="00BB5AD2">
              <w:rPr>
                <w:b/>
                <w:bCs/>
              </w:rPr>
              <w:tab/>
            </w:r>
            <w:r w:rsidR="00BB5AD2">
              <w:rPr>
                <w:b/>
                <w:bCs/>
              </w:rPr>
              <w:tab/>
            </w:r>
            <w:r w:rsidR="00BB5AD2">
              <w:rPr>
                <w:b/>
                <w:bCs/>
              </w:rPr>
              <w:tab/>
            </w:r>
            <w:r w:rsidR="00BB5AD2">
              <w:rPr>
                <w:b/>
                <w:bCs/>
              </w:rPr>
              <w:tab/>
            </w:r>
            <w:r w:rsidR="00BB5AD2">
              <w:rPr>
                <w:b/>
                <w:bCs/>
              </w:rPr>
              <w:tab/>
            </w:r>
            <w:r w:rsidR="00BB5AD2">
              <w:rPr>
                <w:b/>
                <w:bCs/>
              </w:rPr>
              <w:tab/>
            </w:r>
          </w:p>
        </w:tc>
      </w:tr>
      <w:tr w:rsidR="000C2BDB" w:rsidTr="008C04C6">
        <w:tc>
          <w:tcPr>
            <w:tcW w:w="12724" w:type="dxa"/>
            <w:tcBorders>
              <w:bottom w:val="single" w:sz="4" w:space="0" w:color="auto"/>
            </w:tcBorders>
          </w:tcPr>
          <w:p w:rsidR="000C2BDB" w:rsidRPr="00877DE8" w:rsidRDefault="000C2BDB" w:rsidP="00877DE8">
            <w:pPr>
              <w:rPr>
                <w:sz w:val="22"/>
                <w:szCs w:val="22"/>
              </w:rPr>
            </w:pPr>
            <w:r w:rsidRPr="00877DE8">
              <w:rPr>
                <w:sz w:val="22"/>
                <w:szCs w:val="22"/>
              </w:rPr>
              <w:t>Before accepting students onto the course</w:t>
            </w:r>
          </w:p>
          <w:p w:rsidR="000C2BDB" w:rsidRDefault="000C2BDB" w:rsidP="00877DE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</w:t>
            </w:r>
            <w:r w:rsidRPr="000C2BDB">
              <w:rPr>
                <w:sz w:val="22"/>
                <w:szCs w:val="22"/>
              </w:rPr>
              <w:t xml:space="preserve">aware of the three-stage application process </w:t>
            </w:r>
            <w:r>
              <w:rPr>
                <w:sz w:val="22"/>
                <w:szCs w:val="22"/>
              </w:rPr>
              <w:t xml:space="preserve">- contact </w:t>
            </w:r>
            <w:hyperlink r:id="rId8" w:history="1">
              <w:r w:rsidRPr="000C2BDB">
                <w:rPr>
                  <w:rStyle w:val="Hyperlink"/>
                  <w:sz w:val="22"/>
                  <w:szCs w:val="22"/>
                </w:rPr>
                <w:t>DEEP</w:t>
              </w:r>
            </w:hyperlink>
            <w:r w:rsidRPr="000C2BDB">
              <w:rPr>
                <w:sz w:val="22"/>
                <w:szCs w:val="22"/>
              </w:rPr>
              <w:t xml:space="preserve"> and Admissions before</w:t>
            </w:r>
            <w:r>
              <w:rPr>
                <w:sz w:val="22"/>
                <w:szCs w:val="22"/>
              </w:rPr>
              <w:t>hand</w:t>
            </w:r>
          </w:p>
          <w:p w:rsidR="000C2BDB" w:rsidRDefault="00877DE8" w:rsidP="00877DE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changes to the apprentice status? Are they still eligible? </w:t>
            </w:r>
            <w:r w:rsidR="000C2BDB">
              <w:rPr>
                <w:sz w:val="22"/>
                <w:szCs w:val="22"/>
              </w:rPr>
              <w:t xml:space="preserve">Any changes </w:t>
            </w:r>
            <w:r w:rsidR="000C2BDB" w:rsidRPr="00877DE8">
              <w:rPr>
                <w:b/>
                <w:bCs/>
                <w:sz w:val="22"/>
                <w:szCs w:val="22"/>
              </w:rPr>
              <w:t>must</w:t>
            </w:r>
            <w:r w:rsidR="000C2BDB">
              <w:rPr>
                <w:sz w:val="22"/>
                <w:szCs w:val="22"/>
              </w:rPr>
              <w:t xml:space="preserve"> be </w:t>
            </w:r>
            <w:r w:rsidR="000C2BDB" w:rsidRPr="000C2BDB">
              <w:rPr>
                <w:sz w:val="22"/>
                <w:szCs w:val="22"/>
              </w:rPr>
              <w:t xml:space="preserve">communicated to </w:t>
            </w:r>
            <w:hyperlink r:id="rId9" w:history="1">
              <w:r w:rsidR="000C2BDB" w:rsidRPr="00877DE8">
                <w:rPr>
                  <w:rStyle w:val="Hyperlink"/>
                  <w:sz w:val="22"/>
                  <w:szCs w:val="22"/>
                </w:rPr>
                <w:t>DEEP</w:t>
              </w:r>
            </w:hyperlink>
          </w:p>
          <w:p w:rsidR="000C2BDB" w:rsidRPr="000C2BDB" w:rsidRDefault="000C2BDB" w:rsidP="000C2B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2BDB">
              <w:rPr>
                <w:sz w:val="22"/>
                <w:szCs w:val="22"/>
              </w:rPr>
              <w:t>There are specific rules that apply if the Apprentice loses their job.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2BDB" w:rsidRDefault="000C2BDB"/>
        </w:tc>
      </w:tr>
      <w:tr w:rsidR="00856BF2" w:rsidTr="008C04C6">
        <w:tc>
          <w:tcPr>
            <w:tcW w:w="15276" w:type="dxa"/>
            <w:gridSpan w:val="2"/>
            <w:shd w:val="clear" w:color="auto" w:fill="D9D9D9" w:themeFill="background1" w:themeFillShade="D9"/>
          </w:tcPr>
          <w:p w:rsidR="00856BF2" w:rsidRDefault="00856BF2">
            <w:r w:rsidRPr="005663F9">
              <w:rPr>
                <w:b/>
                <w:bCs/>
              </w:rPr>
              <w:t>Working with employers during recruitment</w:t>
            </w:r>
          </w:p>
        </w:tc>
      </w:tr>
      <w:tr w:rsidR="00877DE8" w:rsidTr="008C04C6">
        <w:tc>
          <w:tcPr>
            <w:tcW w:w="12724" w:type="dxa"/>
            <w:tcBorders>
              <w:bottom w:val="single" w:sz="4" w:space="0" w:color="auto"/>
            </w:tcBorders>
          </w:tcPr>
          <w:p w:rsidR="00877DE8" w:rsidRDefault="00877DE8" w:rsidP="00877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employer should </w:t>
            </w:r>
          </w:p>
          <w:p w:rsidR="00877DE8" w:rsidRDefault="00877DE8" w:rsidP="00877DE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r</w:t>
            </w:r>
            <w:r w:rsidRPr="00877DE8">
              <w:rPr>
                <w:sz w:val="22"/>
                <w:szCs w:val="22"/>
              </w:rPr>
              <w:t xml:space="preserve">eady to support the apprentice </w:t>
            </w:r>
          </w:p>
          <w:p w:rsidR="00877DE8" w:rsidRDefault="00877DE8" w:rsidP="00877DE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77DE8">
              <w:rPr>
                <w:sz w:val="22"/>
                <w:szCs w:val="22"/>
              </w:rPr>
              <w:t xml:space="preserve">ign the </w:t>
            </w:r>
            <w:hyperlink r:id="rId10" w:history="1">
              <w:r w:rsidRPr="00877DE8">
                <w:rPr>
                  <w:rStyle w:val="Hyperlink"/>
                  <w:sz w:val="22"/>
                  <w:szCs w:val="22"/>
                </w:rPr>
                <w:t>three-way learning agreement</w:t>
              </w:r>
            </w:hyperlink>
          </w:p>
          <w:p w:rsidR="00877DE8" w:rsidRDefault="00877DE8" w:rsidP="00877DE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77DE8">
              <w:rPr>
                <w:sz w:val="22"/>
                <w:szCs w:val="22"/>
              </w:rPr>
              <w:t>e involved in a three</w:t>
            </w:r>
            <w:r>
              <w:rPr>
                <w:sz w:val="22"/>
                <w:szCs w:val="22"/>
              </w:rPr>
              <w:t>-</w:t>
            </w:r>
            <w:r w:rsidRPr="00877DE8">
              <w:rPr>
                <w:sz w:val="22"/>
                <w:szCs w:val="22"/>
              </w:rPr>
              <w:t xml:space="preserve">way review process throughout </w:t>
            </w:r>
            <w:r>
              <w:rPr>
                <w:sz w:val="22"/>
                <w:szCs w:val="22"/>
              </w:rPr>
              <w:t>the apprenticeship</w:t>
            </w:r>
          </w:p>
          <w:p w:rsidR="00877DE8" w:rsidRDefault="00877DE8" w:rsidP="00877DE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Pr="00877DE8">
              <w:rPr>
                <w:sz w:val="22"/>
                <w:szCs w:val="22"/>
              </w:rPr>
              <w:t>upport</w:t>
            </w:r>
            <w:proofErr w:type="gramEnd"/>
            <w:r w:rsidRPr="00877DE8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a</w:t>
            </w:r>
            <w:r w:rsidRPr="00877DE8">
              <w:rPr>
                <w:sz w:val="22"/>
                <w:szCs w:val="22"/>
              </w:rPr>
              <w:t xml:space="preserve">pprentice </w:t>
            </w:r>
            <w:r>
              <w:rPr>
                <w:sz w:val="22"/>
                <w:szCs w:val="22"/>
              </w:rPr>
              <w:t xml:space="preserve">towards </w:t>
            </w:r>
            <w:r w:rsidRPr="00877DE8">
              <w:rPr>
                <w:sz w:val="22"/>
                <w:szCs w:val="22"/>
              </w:rPr>
              <w:t xml:space="preserve">the </w:t>
            </w:r>
            <w:hyperlink r:id="rId11" w:history="1">
              <w:r w:rsidRPr="00877DE8">
                <w:rPr>
                  <w:rStyle w:val="Hyperlink"/>
                  <w:sz w:val="22"/>
                  <w:szCs w:val="22"/>
                </w:rPr>
                <w:t>End Point Assessment</w:t>
              </w:r>
            </w:hyperlink>
            <w:r>
              <w:rPr>
                <w:sz w:val="22"/>
                <w:szCs w:val="22"/>
              </w:rPr>
              <w:t xml:space="preserve"> - </w:t>
            </w:r>
            <w:r w:rsidRPr="00877DE8">
              <w:rPr>
                <w:sz w:val="22"/>
                <w:szCs w:val="22"/>
              </w:rPr>
              <w:t xml:space="preserve">can include elements of the course where employers have opportunity for direct involvement.  </w:t>
            </w:r>
          </w:p>
          <w:p w:rsidR="00877DE8" w:rsidRPr="00877DE8" w:rsidRDefault="00877DE8" w:rsidP="00877DE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ensure</w:t>
            </w:r>
            <w:proofErr w:type="gramEnd"/>
            <w:r>
              <w:rPr>
                <w:sz w:val="22"/>
                <w:szCs w:val="22"/>
              </w:rPr>
              <w:t xml:space="preserve"> t</w:t>
            </w:r>
            <w:r w:rsidRPr="00877DE8">
              <w:rPr>
                <w:sz w:val="22"/>
                <w:szCs w:val="22"/>
              </w:rPr>
              <w:t>he mentor voice can be embedded into assessment tasks.</w:t>
            </w:r>
          </w:p>
          <w:p w:rsidR="00877DE8" w:rsidRPr="00877DE8" w:rsidRDefault="00877DE8" w:rsidP="00877D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7DE8" w:rsidRDefault="00877DE8"/>
        </w:tc>
      </w:tr>
      <w:tr w:rsidR="00856BF2" w:rsidTr="008C04C6">
        <w:tc>
          <w:tcPr>
            <w:tcW w:w="15276" w:type="dxa"/>
            <w:gridSpan w:val="2"/>
            <w:shd w:val="clear" w:color="auto" w:fill="D9D9D9" w:themeFill="background1" w:themeFillShade="D9"/>
          </w:tcPr>
          <w:p w:rsidR="00856BF2" w:rsidRDefault="00856BF2">
            <w:r w:rsidRPr="005663F9">
              <w:rPr>
                <w:b/>
                <w:bCs/>
              </w:rPr>
              <w:t>Three Way Agreements</w:t>
            </w:r>
          </w:p>
        </w:tc>
      </w:tr>
      <w:tr w:rsidR="00017433" w:rsidTr="008C04C6">
        <w:tc>
          <w:tcPr>
            <w:tcW w:w="12724" w:type="dxa"/>
          </w:tcPr>
          <w:p w:rsidR="00017433" w:rsidRDefault="00017433" w:rsidP="00017433">
            <w:pPr>
              <w:rPr>
                <w:b/>
                <w:bCs/>
                <w:sz w:val="22"/>
                <w:szCs w:val="22"/>
              </w:rPr>
            </w:pPr>
            <w:r w:rsidRPr="00017433">
              <w:rPr>
                <w:sz w:val="22"/>
                <w:szCs w:val="22"/>
              </w:rPr>
              <w:t xml:space="preserve">If course falls under HDA </w:t>
            </w:r>
            <w:r w:rsidRPr="00017433">
              <w:rPr>
                <w:b/>
                <w:bCs/>
                <w:i/>
                <w:iCs/>
                <w:sz w:val="22"/>
                <w:szCs w:val="22"/>
              </w:rPr>
              <w:t>standard</w:t>
            </w:r>
            <w:r w:rsidRPr="00017433">
              <w:rPr>
                <w:b/>
                <w:bCs/>
                <w:sz w:val="22"/>
                <w:szCs w:val="22"/>
              </w:rPr>
              <w:t xml:space="preserve"> </w:t>
            </w:r>
          </w:p>
          <w:p w:rsidR="00017433" w:rsidRDefault="00017433" w:rsidP="0001743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017433">
              <w:rPr>
                <w:sz w:val="22"/>
                <w:szCs w:val="22"/>
              </w:rPr>
              <w:t xml:space="preserve">commitment statement including </w:t>
            </w:r>
            <w:r>
              <w:rPr>
                <w:sz w:val="22"/>
                <w:szCs w:val="22"/>
              </w:rPr>
              <w:t>the L</w:t>
            </w:r>
            <w:r w:rsidRPr="00017433">
              <w:rPr>
                <w:sz w:val="22"/>
                <w:szCs w:val="22"/>
              </w:rPr>
              <w:t xml:space="preserve">earning Structured Training Programme and </w:t>
            </w:r>
            <w:r>
              <w:rPr>
                <w:sz w:val="22"/>
                <w:szCs w:val="22"/>
              </w:rPr>
              <w:t>M</w:t>
            </w:r>
            <w:r w:rsidRPr="00017433">
              <w:rPr>
                <w:sz w:val="22"/>
                <w:szCs w:val="22"/>
              </w:rPr>
              <w:t>ilestones for Work</w:t>
            </w:r>
            <w:r>
              <w:rPr>
                <w:sz w:val="22"/>
                <w:szCs w:val="22"/>
              </w:rPr>
              <w:t>-</w:t>
            </w:r>
            <w:r w:rsidRPr="00017433">
              <w:rPr>
                <w:sz w:val="22"/>
                <w:szCs w:val="22"/>
              </w:rPr>
              <w:t>Based Learning will apply and are</w:t>
            </w:r>
            <w:r>
              <w:rPr>
                <w:sz w:val="22"/>
                <w:szCs w:val="22"/>
              </w:rPr>
              <w:t xml:space="preserve"> obtainable from </w:t>
            </w:r>
            <w:hyperlink r:id="rId12" w:history="1">
              <w:r w:rsidRPr="00017433">
                <w:rPr>
                  <w:rStyle w:val="Hyperlink"/>
                  <w:sz w:val="22"/>
                  <w:szCs w:val="22"/>
                </w:rPr>
                <w:t>DEEP</w:t>
              </w:r>
            </w:hyperlink>
          </w:p>
          <w:p w:rsidR="00017433" w:rsidRDefault="00017433" w:rsidP="0001743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17433">
              <w:rPr>
                <w:sz w:val="22"/>
                <w:szCs w:val="22"/>
              </w:rPr>
              <w:t xml:space="preserve">hese agreements </w:t>
            </w:r>
            <w:r w:rsidRPr="00017433">
              <w:rPr>
                <w:b/>
                <w:bCs/>
                <w:sz w:val="22"/>
                <w:szCs w:val="22"/>
              </w:rPr>
              <w:t>must</w:t>
            </w:r>
            <w:r w:rsidRPr="00017433">
              <w:rPr>
                <w:sz w:val="22"/>
                <w:szCs w:val="22"/>
              </w:rPr>
              <w:t xml:space="preserve"> be in place before the </w:t>
            </w:r>
            <w:r>
              <w:rPr>
                <w:sz w:val="22"/>
                <w:szCs w:val="22"/>
              </w:rPr>
              <w:t>a</w:t>
            </w:r>
            <w:r w:rsidRPr="00017433">
              <w:rPr>
                <w:sz w:val="22"/>
                <w:szCs w:val="22"/>
              </w:rPr>
              <w:t xml:space="preserve">pprenticeship starts </w:t>
            </w:r>
          </w:p>
          <w:p w:rsidR="00017433" w:rsidRDefault="00017433" w:rsidP="0001743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agreements </w:t>
            </w:r>
            <w:r w:rsidRPr="00017433">
              <w:rPr>
                <w:b/>
                <w:bCs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be </w:t>
            </w:r>
            <w:r w:rsidRPr="00017433">
              <w:rPr>
                <w:sz w:val="22"/>
                <w:szCs w:val="22"/>
              </w:rPr>
              <w:t xml:space="preserve">reviewed </w:t>
            </w:r>
            <w:r>
              <w:rPr>
                <w:sz w:val="22"/>
                <w:szCs w:val="22"/>
              </w:rPr>
              <w:t xml:space="preserve">through-out </w:t>
            </w:r>
            <w:r w:rsidRPr="0001743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a</w:t>
            </w:r>
            <w:r w:rsidRPr="00017433">
              <w:rPr>
                <w:sz w:val="22"/>
                <w:szCs w:val="22"/>
              </w:rPr>
              <w:t>pprenticeship</w:t>
            </w:r>
            <w:r>
              <w:rPr>
                <w:sz w:val="22"/>
                <w:szCs w:val="22"/>
              </w:rPr>
              <w:t xml:space="preserve"> term</w:t>
            </w:r>
          </w:p>
          <w:p w:rsidR="00017433" w:rsidRDefault="00017433" w:rsidP="0001743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Pr="00017433">
              <w:rPr>
                <w:sz w:val="22"/>
                <w:szCs w:val="22"/>
              </w:rPr>
              <w:t>f</w:t>
            </w:r>
            <w:proofErr w:type="gramEnd"/>
            <w:r w:rsidRPr="00017433">
              <w:rPr>
                <w:sz w:val="22"/>
                <w:szCs w:val="22"/>
              </w:rPr>
              <w:t xml:space="preserve"> the student cannot gain the </w:t>
            </w:r>
            <w:r>
              <w:rPr>
                <w:sz w:val="22"/>
                <w:szCs w:val="22"/>
              </w:rPr>
              <w:t>k</w:t>
            </w:r>
            <w:r w:rsidRPr="00017433">
              <w:rPr>
                <w:sz w:val="22"/>
                <w:szCs w:val="22"/>
              </w:rPr>
              <w:t xml:space="preserve">nowledge, </w:t>
            </w:r>
            <w:r>
              <w:rPr>
                <w:sz w:val="22"/>
                <w:szCs w:val="22"/>
              </w:rPr>
              <w:t>s</w:t>
            </w:r>
            <w:r w:rsidRPr="00017433">
              <w:rPr>
                <w:sz w:val="22"/>
                <w:szCs w:val="22"/>
              </w:rPr>
              <w:t xml:space="preserve">kills and </w:t>
            </w:r>
            <w:r>
              <w:rPr>
                <w:sz w:val="22"/>
                <w:szCs w:val="22"/>
              </w:rPr>
              <w:t>b</w:t>
            </w:r>
            <w:r w:rsidRPr="00017433">
              <w:rPr>
                <w:sz w:val="22"/>
                <w:szCs w:val="22"/>
              </w:rPr>
              <w:t xml:space="preserve">ehaviours set out in the Apprenticeship Standard they cannot take the </w:t>
            </w:r>
            <w:hyperlink r:id="rId13" w:history="1">
              <w:r w:rsidRPr="005D1BEA">
                <w:rPr>
                  <w:rStyle w:val="Hyperlink"/>
                  <w:sz w:val="22"/>
                  <w:szCs w:val="22"/>
                </w:rPr>
                <w:t>End Point Assessment</w:t>
              </w:r>
            </w:hyperlink>
            <w:r w:rsidRPr="00017433">
              <w:rPr>
                <w:sz w:val="22"/>
                <w:szCs w:val="22"/>
              </w:rPr>
              <w:t xml:space="preserve"> and </w:t>
            </w:r>
            <w:r w:rsidRPr="005D1BEA">
              <w:rPr>
                <w:b/>
                <w:bCs/>
                <w:sz w:val="22"/>
                <w:szCs w:val="22"/>
              </w:rPr>
              <w:t>20%</w:t>
            </w:r>
            <w:r w:rsidRPr="000174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f</w:t>
            </w:r>
            <w:r w:rsidRPr="00017433">
              <w:rPr>
                <w:sz w:val="22"/>
                <w:szCs w:val="22"/>
              </w:rPr>
              <w:t xml:space="preserve">unding will be withheld.  </w:t>
            </w:r>
          </w:p>
          <w:p w:rsidR="00017433" w:rsidRPr="00017433" w:rsidRDefault="005D1BEA" w:rsidP="0061794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17433" w:rsidRPr="00017433">
              <w:rPr>
                <w:sz w:val="22"/>
                <w:szCs w:val="22"/>
              </w:rPr>
              <w:t>he specific Assessment Plan for th</w:t>
            </w:r>
            <w:r>
              <w:rPr>
                <w:sz w:val="22"/>
                <w:szCs w:val="22"/>
              </w:rPr>
              <w:t>e</w:t>
            </w:r>
            <w:r w:rsidR="00017433" w:rsidRPr="00017433">
              <w:rPr>
                <w:sz w:val="22"/>
                <w:szCs w:val="22"/>
              </w:rPr>
              <w:t xml:space="preserve"> Apprenticeship Standard will al</w:t>
            </w:r>
            <w:r>
              <w:rPr>
                <w:sz w:val="22"/>
                <w:szCs w:val="22"/>
              </w:rPr>
              <w:t>s</w:t>
            </w:r>
            <w:r w:rsidR="00017433" w:rsidRPr="00017433">
              <w:rPr>
                <w:sz w:val="22"/>
                <w:szCs w:val="22"/>
              </w:rPr>
              <w:t xml:space="preserve">o define other requirements that the </w:t>
            </w:r>
            <w:r>
              <w:rPr>
                <w:sz w:val="22"/>
                <w:szCs w:val="22"/>
              </w:rPr>
              <w:t>a</w:t>
            </w:r>
            <w:r w:rsidR="00017433" w:rsidRPr="00017433">
              <w:rPr>
                <w:sz w:val="22"/>
                <w:szCs w:val="22"/>
              </w:rPr>
              <w:t>pprentice must meet and Course Teams need to be aware of the</w:t>
            </w:r>
            <w:r w:rsidR="00017433" w:rsidRPr="00BB5AD2">
              <w:rPr>
                <w:sz w:val="22"/>
                <w:szCs w:val="22"/>
              </w:rPr>
              <w:t>se</w:t>
            </w:r>
            <w:r w:rsidRPr="00BB5AD2">
              <w:rPr>
                <w:sz w:val="22"/>
                <w:szCs w:val="22"/>
              </w:rPr>
              <w:t xml:space="preserve"> </w:t>
            </w:r>
            <w:r w:rsidR="00617948" w:rsidRPr="00BB5AD2">
              <w:rPr>
                <w:sz w:val="22"/>
                <w:szCs w:val="22"/>
              </w:rPr>
              <w:t xml:space="preserve">and can consult DEEP and the published Apprenticeship Standard (https://www.gov.uk/government/collections/apprenticeship-standards) </w:t>
            </w:r>
            <w:r w:rsidR="00017433" w:rsidRPr="00BB5AD2">
              <w:rPr>
                <w:sz w:val="22"/>
                <w:szCs w:val="22"/>
              </w:rPr>
              <w:t xml:space="preserve">and actively support the </w:t>
            </w:r>
            <w:r w:rsidRPr="00BB5AD2">
              <w:rPr>
                <w:sz w:val="22"/>
                <w:szCs w:val="22"/>
              </w:rPr>
              <w:t>a</w:t>
            </w:r>
            <w:r w:rsidR="00017433" w:rsidRPr="00BB5AD2">
              <w:rPr>
                <w:sz w:val="22"/>
                <w:szCs w:val="22"/>
              </w:rPr>
              <w:t xml:space="preserve">pprenticeship </w:t>
            </w:r>
            <w:r w:rsidRPr="00BB5AD2">
              <w:rPr>
                <w:sz w:val="22"/>
                <w:szCs w:val="22"/>
              </w:rPr>
              <w:t>j</w:t>
            </w:r>
            <w:r w:rsidR="00017433" w:rsidRPr="00BB5AD2">
              <w:rPr>
                <w:sz w:val="22"/>
                <w:szCs w:val="22"/>
              </w:rPr>
              <w:t>ourney</w:t>
            </w:r>
          </w:p>
          <w:p w:rsidR="00017433" w:rsidRPr="00BB5AD2" w:rsidRDefault="00617948" w:rsidP="0001743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B5AD2">
              <w:rPr>
                <w:sz w:val="22"/>
                <w:szCs w:val="22"/>
              </w:rPr>
              <w:t xml:space="preserve">A Template Commitment Statement </w:t>
            </w:r>
            <w:r w:rsidR="00017433" w:rsidRPr="00BB5AD2">
              <w:rPr>
                <w:sz w:val="22"/>
                <w:szCs w:val="22"/>
              </w:rPr>
              <w:t xml:space="preserve"> or learner file (2016/17) will apply and can be obtained from </w:t>
            </w:r>
            <w:hyperlink r:id="rId14" w:history="1">
              <w:r w:rsidR="00017433" w:rsidRPr="00BB5AD2">
                <w:rPr>
                  <w:rStyle w:val="Hyperlink"/>
                  <w:sz w:val="22"/>
                  <w:szCs w:val="22"/>
                </w:rPr>
                <w:t>DEEP</w:t>
              </w:r>
            </w:hyperlink>
          </w:p>
          <w:p w:rsidR="00017433" w:rsidRPr="005663F9" w:rsidRDefault="00017433" w:rsidP="00017433">
            <w:pPr>
              <w:ind w:left="360"/>
              <w:rPr>
                <w:b/>
                <w:bCs/>
              </w:rPr>
            </w:pPr>
          </w:p>
        </w:tc>
        <w:tc>
          <w:tcPr>
            <w:tcW w:w="2552" w:type="dxa"/>
          </w:tcPr>
          <w:p w:rsidR="00017433" w:rsidRDefault="00017433"/>
        </w:tc>
      </w:tr>
    </w:tbl>
    <w:p w:rsidR="00856BF2" w:rsidRDefault="00856BF2" w:rsidP="00017433">
      <w:pPr>
        <w:rPr>
          <w:sz w:val="22"/>
          <w:szCs w:val="22"/>
        </w:rPr>
        <w:sectPr w:rsidR="00856BF2" w:rsidSect="008C04C6">
          <w:footerReference w:type="default" r:id="rId15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  <w:gridCol w:w="2552"/>
      </w:tblGrid>
      <w:tr w:rsidR="008C04C6" w:rsidTr="008C04C6">
        <w:tc>
          <w:tcPr>
            <w:tcW w:w="15276" w:type="dxa"/>
            <w:gridSpan w:val="2"/>
            <w:shd w:val="clear" w:color="auto" w:fill="D9D9D9" w:themeFill="background1" w:themeFillShade="D9"/>
          </w:tcPr>
          <w:p w:rsidR="008C04C6" w:rsidRDefault="008C04C6">
            <w:r w:rsidRPr="005663F9">
              <w:rPr>
                <w:b/>
                <w:bCs/>
              </w:rPr>
              <w:lastRenderedPageBreak/>
              <w:t xml:space="preserve">Attendance registers </w:t>
            </w:r>
          </w:p>
        </w:tc>
      </w:tr>
      <w:tr w:rsidR="00856BF2" w:rsidTr="008C04C6">
        <w:tc>
          <w:tcPr>
            <w:tcW w:w="12724" w:type="dxa"/>
            <w:tcBorders>
              <w:bottom w:val="single" w:sz="4" w:space="0" w:color="auto"/>
            </w:tcBorders>
          </w:tcPr>
          <w:p w:rsidR="00AA4CAE" w:rsidRPr="00AA4CAE" w:rsidRDefault="00AA4CAE" w:rsidP="00AA4CAE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Must be kept for 6 years</w:t>
            </w:r>
          </w:p>
          <w:p w:rsidR="00AA4CAE" w:rsidRDefault="00AA4CAE" w:rsidP="00AA4CA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4CAE">
              <w:rPr>
                <w:sz w:val="22"/>
                <w:szCs w:val="22"/>
              </w:rPr>
              <w:t xml:space="preserve">Course Leaders need to be </w:t>
            </w:r>
            <w:r w:rsidR="00BB5AD2">
              <w:rPr>
                <w:sz w:val="22"/>
                <w:szCs w:val="22"/>
              </w:rPr>
              <w:t>able to identify the Apprentices</w:t>
            </w:r>
            <w:r w:rsidRPr="00AA4CAE">
              <w:rPr>
                <w:sz w:val="22"/>
                <w:szCs w:val="22"/>
              </w:rPr>
              <w:t xml:space="preserve"> at the start of the course</w:t>
            </w:r>
          </w:p>
          <w:p w:rsidR="00AA4CAE" w:rsidRDefault="00AA4CAE" w:rsidP="00AA4CA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1794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urse Leaders must communicate the need for their </w:t>
            </w:r>
            <w:r w:rsidRPr="00AA4CAE">
              <w:rPr>
                <w:sz w:val="22"/>
                <w:szCs w:val="22"/>
              </w:rPr>
              <w:t xml:space="preserve">Module Leaders </w:t>
            </w:r>
            <w:r>
              <w:rPr>
                <w:sz w:val="22"/>
                <w:szCs w:val="22"/>
              </w:rPr>
              <w:t xml:space="preserve">to be aware of these apprentices and </w:t>
            </w:r>
            <w:r w:rsidRPr="00AA4CAE">
              <w:rPr>
                <w:sz w:val="22"/>
                <w:szCs w:val="22"/>
              </w:rPr>
              <w:t xml:space="preserve">of the need to take and retain registers.  </w:t>
            </w:r>
          </w:p>
          <w:p w:rsidR="00AA4CAE" w:rsidRDefault="00617948" w:rsidP="00AA4CA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  <w:r w:rsidR="00BB5AD2">
              <w:rPr>
                <w:sz w:val="22"/>
                <w:szCs w:val="22"/>
              </w:rPr>
              <w:t>Administrators</w:t>
            </w:r>
            <w:r w:rsidR="00AA4CAE">
              <w:rPr>
                <w:sz w:val="22"/>
                <w:szCs w:val="22"/>
              </w:rPr>
              <w:t xml:space="preserve"> </w:t>
            </w:r>
            <w:r w:rsidR="00AA4CAE" w:rsidRPr="00AA4CAE">
              <w:rPr>
                <w:sz w:val="22"/>
                <w:szCs w:val="22"/>
              </w:rPr>
              <w:t>should</w:t>
            </w:r>
            <w:r w:rsidR="00AA4CAE">
              <w:rPr>
                <w:color w:val="FF0000"/>
                <w:sz w:val="22"/>
                <w:szCs w:val="22"/>
              </w:rPr>
              <w:t xml:space="preserve"> </w:t>
            </w:r>
            <w:r w:rsidR="00AA4CAE" w:rsidRPr="00AA4CAE">
              <w:rPr>
                <w:sz w:val="22"/>
                <w:szCs w:val="22"/>
              </w:rPr>
              <w:t xml:space="preserve">discuss </w:t>
            </w:r>
            <w:r w:rsidR="00AA4CAE">
              <w:rPr>
                <w:sz w:val="22"/>
                <w:szCs w:val="22"/>
              </w:rPr>
              <w:t>the recording of registers</w:t>
            </w:r>
            <w:r w:rsidR="00AA4CAE" w:rsidRPr="00AA4CAE">
              <w:rPr>
                <w:sz w:val="22"/>
                <w:szCs w:val="22"/>
              </w:rPr>
              <w:t xml:space="preserve"> with </w:t>
            </w:r>
            <w:r w:rsidR="00AA4CAE">
              <w:rPr>
                <w:sz w:val="22"/>
                <w:szCs w:val="22"/>
              </w:rPr>
              <w:t>R</w:t>
            </w:r>
            <w:r w:rsidR="00AA4CAE" w:rsidRPr="00AA4CAE">
              <w:rPr>
                <w:sz w:val="22"/>
                <w:szCs w:val="22"/>
              </w:rPr>
              <w:t xml:space="preserve">egistry and to set up secure electronic folders or hard copy approaches to </w:t>
            </w:r>
            <w:r w:rsidR="00AA4CAE">
              <w:rPr>
                <w:sz w:val="22"/>
                <w:szCs w:val="22"/>
              </w:rPr>
              <w:t>m</w:t>
            </w:r>
            <w:r w:rsidR="00AA4CAE" w:rsidRPr="00AA4CAE">
              <w:rPr>
                <w:sz w:val="22"/>
                <w:szCs w:val="22"/>
              </w:rPr>
              <w:t>odule files</w:t>
            </w:r>
            <w:r w:rsidR="00AA4CAE" w:rsidRPr="00BB5AD2">
              <w:rPr>
                <w:sz w:val="22"/>
                <w:szCs w:val="22"/>
              </w:rPr>
              <w:t xml:space="preserve">. </w:t>
            </w:r>
            <w:r w:rsidRPr="00BB5AD2">
              <w:rPr>
                <w:sz w:val="22"/>
                <w:szCs w:val="22"/>
              </w:rPr>
              <w:t xml:space="preserve">Contact Cat </w:t>
            </w:r>
            <w:proofErr w:type="spellStart"/>
            <w:r w:rsidRPr="00BB5AD2">
              <w:rPr>
                <w:sz w:val="22"/>
                <w:szCs w:val="22"/>
              </w:rPr>
              <w:t>Wasnidge</w:t>
            </w:r>
            <w:proofErr w:type="spellEnd"/>
            <w:r w:rsidRPr="00BB5AD2">
              <w:rPr>
                <w:sz w:val="22"/>
                <w:szCs w:val="22"/>
              </w:rPr>
              <w:t xml:space="preserve"> in DEEP for further advice</w:t>
            </w:r>
          </w:p>
          <w:p w:rsidR="00AA4CAE" w:rsidRPr="00AA4CAE" w:rsidRDefault="00AA4CAE" w:rsidP="00AA4CA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Recording and retention of attendance records is </w:t>
            </w:r>
            <w:r w:rsidRPr="00AA4CAE">
              <w:rPr>
                <w:b/>
                <w:bCs/>
                <w:sz w:val="22"/>
                <w:szCs w:val="22"/>
              </w:rPr>
              <w:t xml:space="preserve">a </w:t>
            </w:r>
            <w:r>
              <w:rPr>
                <w:b/>
                <w:bCs/>
                <w:sz w:val="22"/>
                <w:szCs w:val="22"/>
              </w:rPr>
              <w:t>f</w:t>
            </w:r>
            <w:r w:rsidRPr="00AA4CAE">
              <w:rPr>
                <w:b/>
                <w:bCs/>
                <w:sz w:val="22"/>
                <w:szCs w:val="22"/>
              </w:rPr>
              <w:t>unding requirement</w:t>
            </w:r>
            <w:r w:rsidRPr="00AA4CAE">
              <w:rPr>
                <w:sz w:val="22"/>
                <w:szCs w:val="22"/>
              </w:rPr>
              <w:t>.  Failure to do this may jeopardise funding. Course Leader</w:t>
            </w:r>
            <w:r>
              <w:rPr>
                <w:sz w:val="22"/>
                <w:szCs w:val="22"/>
              </w:rPr>
              <w:t xml:space="preserve">s should be diligent about this! </w:t>
            </w:r>
          </w:p>
          <w:p w:rsidR="00856BF2" w:rsidRPr="00017433" w:rsidRDefault="00856BF2" w:rsidP="0001743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BF2" w:rsidRDefault="00856BF2"/>
        </w:tc>
      </w:tr>
      <w:tr w:rsidR="008C04C6" w:rsidTr="008C04C6">
        <w:tc>
          <w:tcPr>
            <w:tcW w:w="15276" w:type="dxa"/>
            <w:gridSpan w:val="2"/>
            <w:shd w:val="clear" w:color="auto" w:fill="D9D9D9" w:themeFill="background1" w:themeFillShade="D9"/>
          </w:tcPr>
          <w:p w:rsidR="008C04C6" w:rsidRDefault="008C04C6">
            <w:r w:rsidRPr="005663F9">
              <w:rPr>
                <w:b/>
                <w:bCs/>
              </w:rPr>
              <w:t>An agreed, structured work-based training programme and support</w:t>
            </w:r>
          </w:p>
        </w:tc>
      </w:tr>
      <w:tr w:rsidR="00603142" w:rsidTr="008C04C6">
        <w:tc>
          <w:tcPr>
            <w:tcW w:w="12724" w:type="dxa"/>
            <w:tcBorders>
              <w:bottom w:val="single" w:sz="4" w:space="0" w:color="auto"/>
            </w:tcBorders>
          </w:tcPr>
          <w:p w:rsidR="00823CC1" w:rsidRDefault="00603142" w:rsidP="00603142">
            <w:pPr>
              <w:rPr>
                <w:sz w:val="22"/>
                <w:szCs w:val="22"/>
              </w:rPr>
            </w:pPr>
            <w:r w:rsidRPr="00603142">
              <w:rPr>
                <w:sz w:val="22"/>
                <w:szCs w:val="22"/>
              </w:rPr>
              <w:t xml:space="preserve">The course delivery </w:t>
            </w:r>
            <w:r w:rsidR="00823CC1">
              <w:rPr>
                <w:sz w:val="22"/>
                <w:szCs w:val="22"/>
              </w:rPr>
              <w:t xml:space="preserve">team </w:t>
            </w:r>
            <w:r w:rsidRPr="00603142">
              <w:rPr>
                <w:sz w:val="22"/>
                <w:szCs w:val="22"/>
              </w:rPr>
              <w:t xml:space="preserve">should </w:t>
            </w:r>
          </w:p>
          <w:p w:rsidR="00823CC1" w:rsidRDefault="00603142" w:rsidP="00823CC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823CC1">
              <w:rPr>
                <w:sz w:val="22"/>
                <w:szCs w:val="22"/>
              </w:rPr>
              <w:t>ensure</w:t>
            </w:r>
            <w:proofErr w:type="gramEnd"/>
            <w:r w:rsidRPr="00823CC1">
              <w:rPr>
                <w:sz w:val="22"/>
                <w:szCs w:val="22"/>
              </w:rPr>
              <w:t xml:space="preserve"> that </w:t>
            </w:r>
            <w:r w:rsidR="00C633B9">
              <w:rPr>
                <w:sz w:val="22"/>
                <w:szCs w:val="22"/>
              </w:rPr>
              <w:t xml:space="preserve">the </w:t>
            </w:r>
            <w:r w:rsidRPr="00823CC1">
              <w:rPr>
                <w:sz w:val="22"/>
                <w:szCs w:val="22"/>
              </w:rPr>
              <w:t>three</w:t>
            </w:r>
            <w:r w:rsidR="00823CC1">
              <w:rPr>
                <w:sz w:val="22"/>
                <w:szCs w:val="22"/>
              </w:rPr>
              <w:t>-</w:t>
            </w:r>
            <w:r w:rsidRPr="00823CC1">
              <w:rPr>
                <w:sz w:val="22"/>
                <w:szCs w:val="22"/>
              </w:rPr>
              <w:t>way review is taking place</w:t>
            </w:r>
            <w:r w:rsidR="00C633B9">
              <w:rPr>
                <w:sz w:val="22"/>
                <w:szCs w:val="22"/>
              </w:rPr>
              <w:t xml:space="preserve">, </w:t>
            </w:r>
            <w:r w:rsidR="00823CC1">
              <w:rPr>
                <w:sz w:val="22"/>
                <w:szCs w:val="22"/>
              </w:rPr>
              <w:t xml:space="preserve"> </w:t>
            </w:r>
            <w:r w:rsidRPr="00823CC1">
              <w:rPr>
                <w:sz w:val="22"/>
                <w:szCs w:val="22"/>
              </w:rPr>
              <w:t xml:space="preserve">to look at the availability and impact of the employer's structured training support.  </w:t>
            </w:r>
          </w:p>
          <w:p w:rsidR="00603142" w:rsidRPr="005663F9" w:rsidRDefault="00C633B9" w:rsidP="00C633B9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proofErr w:type="gramStart"/>
            <w:r>
              <w:rPr>
                <w:sz w:val="22"/>
                <w:szCs w:val="22"/>
              </w:rPr>
              <w:t>ensure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A78B0">
              <w:rPr>
                <w:sz w:val="22"/>
                <w:szCs w:val="22"/>
              </w:rPr>
              <w:t>the</w:t>
            </w:r>
            <w:r w:rsidR="00823CC1">
              <w:rPr>
                <w:sz w:val="22"/>
                <w:szCs w:val="22"/>
              </w:rPr>
              <w:t xml:space="preserve"> </w:t>
            </w:r>
            <w:r w:rsidR="000A78B0">
              <w:rPr>
                <w:sz w:val="22"/>
                <w:szCs w:val="22"/>
              </w:rPr>
              <w:t xml:space="preserve">review document </w:t>
            </w:r>
            <w:r>
              <w:rPr>
                <w:sz w:val="22"/>
                <w:szCs w:val="22"/>
              </w:rPr>
              <w:t xml:space="preserve">be </w:t>
            </w:r>
            <w:r w:rsidR="00603142" w:rsidRPr="00823CC1">
              <w:rPr>
                <w:sz w:val="22"/>
                <w:szCs w:val="22"/>
              </w:rPr>
              <w:t xml:space="preserve">used at least </w:t>
            </w:r>
            <w:r w:rsidR="00603142" w:rsidRPr="00823CC1">
              <w:rPr>
                <w:b/>
                <w:bCs/>
                <w:sz w:val="22"/>
                <w:szCs w:val="22"/>
              </w:rPr>
              <w:t>once per semester</w:t>
            </w:r>
            <w:r w:rsidR="00880B4D">
              <w:rPr>
                <w:sz w:val="22"/>
                <w:szCs w:val="22"/>
              </w:rPr>
              <w:t xml:space="preserve">. </w:t>
            </w:r>
            <w:r w:rsidR="000A78B0">
              <w:rPr>
                <w:sz w:val="22"/>
                <w:szCs w:val="22"/>
              </w:rPr>
              <w:t xml:space="preserve">Contact </w:t>
            </w:r>
            <w:hyperlink r:id="rId16" w:history="1">
              <w:r w:rsidR="000A78B0" w:rsidRPr="000A78B0">
                <w:rPr>
                  <w:rStyle w:val="Hyperlink"/>
                  <w:sz w:val="22"/>
                  <w:szCs w:val="22"/>
                </w:rPr>
                <w:t>DEEP</w:t>
              </w:r>
            </w:hyperlink>
            <w:r w:rsidR="000A78B0">
              <w:rPr>
                <w:sz w:val="22"/>
                <w:szCs w:val="22"/>
              </w:rPr>
              <w:t xml:space="preserve"> for the template. </w:t>
            </w:r>
            <w:r w:rsidR="00880B4D">
              <w:rPr>
                <w:sz w:val="22"/>
                <w:szCs w:val="22"/>
              </w:rPr>
              <w:t>This will use</w:t>
            </w:r>
            <w:r w:rsidR="00603142" w:rsidRPr="00823CC1">
              <w:rPr>
                <w:sz w:val="22"/>
                <w:szCs w:val="22"/>
              </w:rPr>
              <w:t xml:space="preserve"> available attendance data and performance from assessment </w:t>
            </w:r>
            <w:r w:rsidR="00880B4D">
              <w:rPr>
                <w:sz w:val="22"/>
                <w:szCs w:val="22"/>
              </w:rPr>
              <w:t xml:space="preserve">and should be communicated to the employer. This allows for employer feedback </w:t>
            </w:r>
            <w:r w:rsidR="00603142" w:rsidRPr="00823CC1">
              <w:rPr>
                <w:sz w:val="22"/>
                <w:szCs w:val="22"/>
              </w:rPr>
              <w:t xml:space="preserve">and </w:t>
            </w:r>
            <w:r w:rsidR="000A78B0">
              <w:rPr>
                <w:sz w:val="22"/>
                <w:szCs w:val="22"/>
              </w:rPr>
              <w:t xml:space="preserve">provide additional </w:t>
            </w:r>
            <w:r w:rsidR="00880B4D">
              <w:rPr>
                <w:sz w:val="22"/>
                <w:szCs w:val="22"/>
              </w:rPr>
              <w:t xml:space="preserve">guidance for the </w:t>
            </w:r>
            <w:r w:rsidR="00603142" w:rsidRPr="00823CC1">
              <w:rPr>
                <w:sz w:val="22"/>
                <w:szCs w:val="22"/>
              </w:rPr>
              <w:t xml:space="preserve">apprentice to </w:t>
            </w:r>
            <w:r w:rsidR="000A78B0">
              <w:rPr>
                <w:sz w:val="22"/>
                <w:szCs w:val="22"/>
              </w:rPr>
              <w:t>achieve a s</w:t>
            </w:r>
            <w:r w:rsidR="00603142" w:rsidRPr="00823CC1">
              <w:rPr>
                <w:sz w:val="22"/>
                <w:szCs w:val="22"/>
              </w:rPr>
              <w:t>uccess</w:t>
            </w:r>
            <w:r w:rsidR="000A78B0">
              <w:rPr>
                <w:sz w:val="22"/>
                <w:szCs w:val="22"/>
              </w:rPr>
              <w:t xml:space="preserve">ful </w:t>
            </w:r>
            <w:r w:rsidR="00880B4D">
              <w:rPr>
                <w:sz w:val="22"/>
                <w:szCs w:val="22"/>
              </w:rPr>
              <w:t>a</w:t>
            </w:r>
            <w:r w:rsidR="00603142" w:rsidRPr="00823CC1">
              <w:rPr>
                <w:sz w:val="22"/>
                <w:szCs w:val="22"/>
              </w:rPr>
              <w:t>pprenticeship journey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3142" w:rsidRDefault="00603142"/>
        </w:tc>
      </w:tr>
      <w:tr w:rsidR="008C04C6" w:rsidTr="008C04C6">
        <w:tc>
          <w:tcPr>
            <w:tcW w:w="15276" w:type="dxa"/>
            <w:gridSpan w:val="2"/>
            <w:shd w:val="clear" w:color="auto" w:fill="D9D9D9" w:themeFill="background1" w:themeFillShade="D9"/>
          </w:tcPr>
          <w:p w:rsidR="008C04C6" w:rsidRDefault="008C04C6">
            <w:r w:rsidRPr="005663F9">
              <w:rPr>
                <w:b/>
                <w:bCs/>
              </w:rPr>
              <w:t>Induction activities / modules which require and support learner PDP</w:t>
            </w:r>
          </w:p>
        </w:tc>
      </w:tr>
      <w:tr w:rsidR="00C633B9" w:rsidTr="008C04C6">
        <w:tc>
          <w:tcPr>
            <w:tcW w:w="12724" w:type="dxa"/>
            <w:tcBorders>
              <w:bottom w:val="single" w:sz="4" w:space="0" w:color="auto"/>
            </w:tcBorders>
          </w:tcPr>
          <w:p w:rsidR="00C633B9" w:rsidRPr="008C04C6" w:rsidRDefault="00C633B9" w:rsidP="00C633B9">
            <w:pPr>
              <w:rPr>
                <w:sz w:val="22"/>
                <w:szCs w:val="22"/>
              </w:rPr>
            </w:pPr>
            <w:r w:rsidRPr="008C04C6">
              <w:rPr>
                <w:sz w:val="22"/>
                <w:szCs w:val="22"/>
              </w:rPr>
              <w:t>The apprentice induction should</w:t>
            </w:r>
          </w:p>
          <w:p w:rsidR="00C633B9" w:rsidRPr="008C04C6" w:rsidRDefault="00C633B9" w:rsidP="00C633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C04C6">
              <w:rPr>
                <w:sz w:val="22"/>
                <w:szCs w:val="22"/>
              </w:rPr>
              <w:t>clarify their own obligations in seeking to gain specific knowledge, skills and behaviours</w:t>
            </w:r>
          </w:p>
          <w:p w:rsidR="00C633B9" w:rsidRPr="008C04C6" w:rsidRDefault="00C633B9" w:rsidP="00C633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C04C6">
              <w:rPr>
                <w:sz w:val="22"/>
                <w:szCs w:val="22"/>
              </w:rPr>
              <w:t>include steps to keep the employer and provider informed</w:t>
            </w:r>
          </w:p>
          <w:p w:rsidR="00C633B9" w:rsidRPr="008C04C6" w:rsidRDefault="00C633B9" w:rsidP="00C633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C04C6">
              <w:rPr>
                <w:sz w:val="22"/>
                <w:szCs w:val="22"/>
              </w:rPr>
              <w:t>make them aware of their status and ideally include the their mentor</w:t>
            </w:r>
          </w:p>
          <w:p w:rsidR="00C633B9" w:rsidRPr="00C633B9" w:rsidRDefault="00C633B9" w:rsidP="00C633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gramStart"/>
            <w:r w:rsidRPr="008C04C6">
              <w:rPr>
                <w:sz w:val="22"/>
                <w:szCs w:val="22"/>
              </w:rPr>
              <w:t>recommend</w:t>
            </w:r>
            <w:proofErr w:type="gramEnd"/>
            <w:r w:rsidRPr="008C04C6">
              <w:rPr>
                <w:sz w:val="22"/>
                <w:szCs w:val="22"/>
              </w:rPr>
              <w:t xml:space="preserve"> joint events - these should include the need for some different elements to other (non-apprentice) students on the same programme.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33B9" w:rsidRDefault="00C633B9"/>
        </w:tc>
      </w:tr>
      <w:tr w:rsidR="008C04C6" w:rsidTr="008C04C6">
        <w:tc>
          <w:tcPr>
            <w:tcW w:w="15276" w:type="dxa"/>
            <w:gridSpan w:val="2"/>
            <w:shd w:val="clear" w:color="auto" w:fill="D9D9D9" w:themeFill="background1" w:themeFillShade="D9"/>
          </w:tcPr>
          <w:p w:rsidR="008C04C6" w:rsidRDefault="008C04C6">
            <w:r w:rsidRPr="005663F9">
              <w:rPr>
                <w:b/>
                <w:bCs/>
              </w:rPr>
              <w:t xml:space="preserve">Identifying External End Point Assessment Organisation </w:t>
            </w:r>
          </w:p>
        </w:tc>
      </w:tr>
      <w:tr w:rsidR="005E63FD" w:rsidTr="008C04C6">
        <w:tc>
          <w:tcPr>
            <w:tcW w:w="12724" w:type="dxa"/>
          </w:tcPr>
          <w:p w:rsidR="005E63FD" w:rsidRPr="008C04C6" w:rsidRDefault="005E63FD" w:rsidP="005E63FD">
            <w:pPr>
              <w:rPr>
                <w:sz w:val="22"/>
                <w:szCs w:val="22"/>
              </w:rPr>
            </w:pPr>
            <w:r w:rsidRPr="008C04C6">
              <w:rPr>
                <w:sz w:val="22"/>
                <w:szCs w:val="22"/>
              </w:rPr>
              <w:t xml:space="preserve">Working with the </w:t>
            </w:r>
            <w:hyperlink r:id="rId17" w:history="1">
              <w:r w:rsidRPr="008C04C6">
                <w:rPr>
                  <w:rStyle w:val="Hyperlink"/>
                  <w:sz w:val="22"/>
                  <w:szCs w:val="22"/>
                </w:rPr>
                <w:t>DEEP team</w:t>
              </w:r>
            </w:hyperlink>
            <w:r w:rsidRPr="008C04C6">
              <w:rPr>
                <w:sz w:val="22"/>
                <w:szCs w:val="22"/>
              </w:rPr>
              <w:t>:</w:t>
            </w:r>
          </w:p>
          <w:p w:rsidR="005E63FD" w:rsidRPr="008C04C6" w:rsidRDefault="005E63FD" w:rsidP="005E63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04C6">
              <w:rPr>
                <w:sz w:val="22"/>
                <w:szCs w:val="22"/>
              </w:rPr>
              <w:t xml:space="preserve">to complete the apprenticeship, the apprentice will need to take an </w:t>
            </w:r>
            <w:hyperlink r:id="rId18" w:history="1">
              <w:r w:rsidRPr="008C04C6">
                <w:rPr>
                  <w:rStyle w:val="Hyperlink"/>
                  <w:sz w:val="22"/>
                  <w:szCs w:val="22"/>
                </w:rPr>
                <w:t>End Point Assessment</w:t>
              </w:r>
            </w:hyperlink>
          </w:p>
          <w:p w:rsidR="005E63FD" w:rsidRPr="008C04C6" w:rsidRDefault="005E63FD" w:rsidP="005E63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04C6">
              <w:rPr>
                <w:sz w:val="22"/>
                <w:szCs w:val="22"/>
              </w:rPr>
              <w:t>End Point Assessment is undertaken by a third party, selected by the employer and then procured by the main provider</w:t>
            </w:r>
          </w:p>
          <w:p w:rsidR="005E63FD" w:rsidRPr="008C04C6" w:rsidRDefault="005E63FD" w:rsidP="005E63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04C6">
              <w:rPr>
                <w:sz w:val="22"/>
                <w:szCs w:val="22"/>
              </w:rPr>
              <w:t xml:space="preserve">We are </w:t>
            </w:r>
            <w:r w:rsidRPr="008C04C6">
              <w:rPr>
                <w:b/>
                <w:bCs/>
                <w:sz w:val="22"/>
                <w:szCs w:val="22"/>
              </w:rPr>
              <w:t xml:space="preserve">not </w:t>
            </w:r>
            <w:r w:rsidRPr="008C04C6">
              <w:rPr>
                <w:sz w:val="22"/>
                <w:szCs w:val="22"/>
              </w:rPr>
              <w:t>able to assess our own learners at the End Point Assessment - discuss options, timing and approach to securing this.</w:t>
            </w:r>
          </w:p>
          <w:p w:rsidR="005E63FD" w:rsidRPr="008C04C6" w:rsidRDefault="005E63FD" w:rsidP="005E63FD">
            <w:pPr>
              <w:ind w:left="720"/>
              <w:rPr>
                <w:sz w:val="22"/>
                <w:szCs w:val="22"/>
              </w:rPr>
            </w:pPr>
            <w:r w:rsidRPr="008C04C6">
              <w:rPr>
                <w:sz w:val="22"/>
                <w:szCs w:val="22"/>
              </w:rPr>
              <w:t>In relation to the above:</w:t>
            </w:r>
          </w:p>
          <w:p w:rsidR="005E63FD" w:rsidRPr="008C04C6" w:rsidRDefault="005E63FD" w:rsidP="005E63FD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8C04C6">
              <w:rPr>
                <w:i/>
                <w:iCs/>
                <w:sz w:val="22"/>
                <w:szCs w:val="22"/>
              </w:rPr>
              <w:t>Cyclical course mechanisms for development opportunities supported by workplace mentor</w:t>
            </w:r>
          </w:p>
          <w:p w:rsidR="005E63FD" w:rsidRPr="008C04C6" w:rsidRDefault="005E63FD" w:rsidP="005E63FD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8C04C6">
              <w:rPr>
                <w:i/>
                <w:iCs/>
                <w:sz w:val="22"/>
                <w:szCs w:val="22"/>
              </w:rPr>
              <w:t>Opportunities for employer feedback and engagement, including mentor contact points</w:t>
            </w:r>
          </w:p>
          <w:p w:rsidR="005E63FD" w:rsidRPr="008C04C6" w:rsidRDefault="005E63FD" w:rsidP="005E63FD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8C04C6">
              <w:rPr>
                <w:i/>
                <w:iCs/>
                <w:sz w:val="22"/>
                <w:szCs w:val="22"/>
              </w:rPr>
              <w:t>End point assessment progress checks to ensure final payment to SHU from ESFA</w:t>
            </w:r>
          </w:p>
          <w:p w:rsidR="005E63FD" w:rsidRPr="008C04C6" w:rsidRDefault="005E63FD" w:rsidP="005E63FD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8C04C6">
              <w:rPr>
                <w:i/>
                <w:iCs/>
                <w:sz w:val="22"/>
                <w:szCs w:val="22"/>
              </w:rPr>
              <w:t>Awareness of employment status and flags for change that might affect eligibility and progress</w:t>
            </w:r>
          </w:p>
          <w:p w:rsidR="005E63FD" w:rsidRDefault="005E63FD" w:rsidP="00C633B9"/>
        </w:tc>
        <w:tc>
          <w:tcPr>
            <w:tcW w:w="2552" w:type="dxa"/>
          </w:tcPr>
          <w:p w:rsidR="005E63FD" w:rsidRDefault="005E63FD"/>
        </w:tc>
      </w:tr>
    </w:tbl>
    <w:p w:rsidR="000C2BDB" w:rsidRDefault="000C2BDB"/>
    <w:p w:rsidR="005663F9" w:rsidRDefault="005663F9"/>
    <w:sectPr w:rsidR="005663F9" w:rsidSect="00F60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7F" w:rsidRDefault="002C017F" w:rsidP="002C017F">
      <w:pPr>
        <w:spacing w:after="0" w:line="240" w:lineRule="auto"/>
      </w:pPr>
      <w:r>
        <w:separator/>
      </w:r>
    </w:p>
  </w:endnote>
  <w:endnote w:type="continuationSeparator" w:id="0">
    <w:p w:rsidR="002C017F" w:rsidRDefault="002C017F" w:rsidP="002C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7F" w:rsidRDefault="002C017F">
    <w:pPr>
      <w:pStyle w:val="Footer"/>
    </w:pPr>
    <w:r>
      <w:t>Revised version 19/10/2017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7F" w:rsidRDefault="002C017F" w:rsidP="002C017F">
      <w:pPr>
        <w:spacing w:after="0" w:line="240" w:lineRule="auto"/>
      </w:pPr>
      <w:r>
        <w:separator/>
      </w:r>
    </w:p>
  </w:footnote>
  <w:footnote w:type="continuationSeparator" w:id="0">
    <w:p w:rsidR="002C017F" w:rsidRDefault="002C017F" w:rsidP="002C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1249"/>
    <w:multiLevelType w:val="hybridMultilevel"/>
    <w:tmpl w:val="473AE5B8"/>
    <w:lvl w:ilvl="0" w:tplc="71D0C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6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2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2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D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C1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E1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0E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8F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A24352"/>
    <w:multiLevelType w:val="hybridMultilevel"/>
    <w:tmpl w:val="C3BA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7BF7"/>
    <w:multiLevelType w:val="hybridMultilevel"/>
    <w:tmpl w:val="EF98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3686D"/>
    <w:multiLevelType w:val="hybridMultilevel"/>
    <w:tmpl w:val="6D66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6E21"/>
    <w:multiLevelType w:val="hybridMultilevel"/>
    <w:tmpl w:val="6B74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F41EE"/>
    <w:multiLevelType w:val="hybridMultilevel"/>
    <w:tmpl w:val="2312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20357"/>
    <w:multiLevelType w:val="hybridMultilevel"/>
    <w:tmpl w:val="98B2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92D4A"/>
    <w:multiLevelType w:val="hybridMultilevel"/>
    <w:tmpl w:val="6C521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F9"/>
    <w:rsid w:val="00017433"/>
    <w:rsid w:val="000A78B0"/>
    <w:rsid w:val="000C2BDB"/>
    <w:rsid w:val="00153E09"/>
    <w:rsid w:val="00176E40"/>
    <w:rsid w:val="00210758"/>
    <w:rsid w:val="002A26D2"/>
    <w:rsid w:val="002C017F"/>
    <w:rsid w:val="00314AEC"/>
    <w:rsid w:val="00520D38"/>
    <w:rsid w:val="00533C8A"/>
    <w:rsid w:val="005663F9"/>
    <w:rsid w:val="005D1BEA"/>
    <w:rsid w:val="005E63FD"/>
    <w:rsid w:val="00603142"/>
    <w:rsid w:val="00617948"/>
    <w:rsid w:val="00631B08"/>
    <w:rsid w:val="00697AE9"/>
    <w:rsid w:val="006C6943"/>
    <w:rsid w:val="006E4474"/>
    <w:rsid w:val="00704AFD"/>
    <w:rsid w:val="00823CC1"/>
    <w:rsid w:val="00851E9B"/>
    <w:rsid w:val="00856BF2"/>
    <w:rsid w:val="00877DE8"/>
    <w:rsid w:val="00880B4D"/>
    <w:rsid w:val="008C04C6"/>
    <w:rsid w:val="008C1153"/>
    <w:rsid w:val="00A90CE2"/>
    <w:rsid w:val="00AA4CAE"/>
    <w:rsid w:val="00AA67AC"/>
    <w:rsid w:val="00BB5AD2"/>
    <w:rsid w:val="00C633B9"/>
    <w:rsid w:val="00D138CD"/>
    <w:rsid w:val="00EF4280"/>
    <w:rsid w:val="00F6040E"/>
    <w:rsid w:val="00F626B4"/>
    <w:rsid w:val="00F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7F"/>
  </w:style>
  <w:style w:type="paragraph" w:styleId="Footer">
    <w:name w:val="footer"/>
    <w:basedOn w:val="Normal"/>
    <w:link w:val="FooterChar"/>
    <w:uiPriority w:val="99"/>
    <w:unhideWhenUsed/>
    <w:rsid w:val="002C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7F"/>
  </w:style>
  <w:style w:type="paragraph" w:styleId="Footer">
    <w:name w:val="footer"/>
    <w:basedOn w:val="Normal"/>
    <w:link w:val="FooterChar"/>
    <w:uiPriority w:val="99"/>
    <w:unhideWhenUsed/>
    <w:rsid w:val="002C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5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wblapprenticeships/contact/" TargetMode="External"/><Relationship Id="rId13" Type="http://schemas.openxmlformats.org/officeDocument/2006/relationships/hyperlink" Target="https://blogs.shu.ac.uk/wblapprenticeships/policy/end-point-assessment/?doing_wp_cron=1494511874.0671949386596679687500" TargetMode="External"/><Relationship Id="rId18" Type="http://schemas.openxmlformats.org/officeDocument/2006/relationships/hyperlink" Target="https://blogs.shu.ac.uk/wblapprenticeships/policy/end-point-assessment/?doing_wp_cron=1494582794.16532492637634277343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logs.shu.ac.uk/wblapprenticeships/contact/" TargetMode="External"/><Relationship Id="rId17" Type="http://schemas.openxmlformats.org/officeDocument/2006/relationships/hyperlink" Target="https://blogs.shu.ac.uk/wblapprenticeships/contact/?doing_wp_cron=1494582620.9638020992279052734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shu.ac.uk/wblapprenticeships/cont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logs.shu.ac.uk/wblapprenticeships/policy/end-point-assessment/?doing_wp_cron=1494511565.54808902740478515625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logs.shu.ac.uk/wblapprenticeships/policy/higher-and-degree-apprenticeships/learning-agreeme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s.shu.ac.uk/wblapprenticeships/contact/" TargetMode="External"/><Relationship Id="rId14" Type="http://schemas.openxmlformats.org/officeDocument/2006/relationships/hyperlink" Target="https://blogs.shu.ac.uk/wblapprenticeships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Moorwood</dc:creator>
  <cp:lastModifiedBy>Natalie Brownell</cp:lastModifiedBy>
  <cp:revision>3</cp:revision>
  <dcterms:created xsi:type="dcterms:W3CDTF">2017-10-23T10:54:00Z</dcterms:created>
  <dcterms:modified xsi:type="dcterms:W3CDTF">2017-10-23T10:55:00Z</dcterms:modified>
</cp:coreProperties>
</file>