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9" w:rsidRPr="00D56BDA" w:rsidRDefault="00D56BDA" w:rsidP="00D56BD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Adjustments to coursework assessments: some additional considerations</w:t>
      </w:r>
      <w:r w:rsidRPr="00D56BDA">
        <w:rPr>
          <w:rFonts w:ascii="Arial" w:hAnsi="Arial" w:cs="Arial"/>
          <w:b/>
          <w:sz w:val="24"/>
          <w:szCs w:val="24"/>
        </w:rPr>
        <w:t>.</w:t>
      </w:r>
    </w:p>
    <w:p w:rsidR="006E4474" w:rsidRPr="00D56BDA" w:rsidRDefault="005870D9" w:rsidP="00D56BD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56BDA">
        <w:rPr>
          <w:rFonts w:ascii="Arial" w:hAnsi="Arial" w:cs="Arial"/>
          <w:b/>
          <w:sz w:val="24"/>
          <w:szCs w:val="24"/>
        </w:rPr>
        <w:t xml:space="preserve">Based on </w:t>
      </w:r>
      <w:r w:rsidR="004E2EEC" w:rsidRPr="00D56BDA">
        <w:rPr>
          <w:rFonts w:ascii="Arial" w:hAnsi="Arial" w:cs="Arial"/>
          <w:b/>
          <w:sz w:val="24"/>
          <w:szCs w:val="24"/>
        </w:rPr>
        <w:t>Contingency planning: exploring rapid alternatives to face-to-face assessment</w:t>
      </w:r>
      <w:r w:rsidRPr="00D56BDA">
        <w:rPr>
          <w:rFonts w:ascii="Arial" w:hAnsi="Arial" w:cs="Arial"/>
          <w:b/>
          <w:sz w:val="24"/>
          <w:szCs w:val="24"/>
        </w:rPr>
        <w:t xml:space="preserve"> by </w:t>
      </w:r>
      <w:r w:rsidR="004E2EEC" w:rsidRPr="00D56BDA">
        <w:rPr>
          <w:rFonts w:ascii="Arial" w:hAnsi="Arial" w:cs="Arial"/>
          <w:b/>
          <w:sz w:val="24"/>
          <w:szCs w:val="24"/>
        </w:rPr>
        <w:t>Sally Brown and Kay Sambell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972"/>
        <w:gridCol w:w="5500"/>
        <w:gridCol w:w="5811"/>
      </w:tblGrid>
      <w:tr w:rsidR="004E2EEC" w:rsidRPr="00D56BDA" w:rsidTr="00D56BDA">
        <w:tc>
          <w:tcPr>
            <w:tcW w:w="2972" w:type="dxa"/>
            <w:shd w:val="clear" w:color="auto" w:fill="DFEADF" w:themeFill="accent2" w:themeFillTint="66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If you currently use….</w:t>
            </w:r>
          </w:p>
        </w:tc>
        <w:tc>
          <w:tcPr>
            <w:tcW w:w="5500" w:type="dxa"/>
            <w:shd w:val="clear" w:color="auto" w:fill="DFEADF" w:themeFill="accent2" w:themeFillTint="66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You could instead consider using ….</w:t>
            </w:r>
          </w:p>
        </w:tc>
        <w:tc>
          <w:tcPr>
            <w:tcW w:w="5811" w:type="dxa"/>
            <w:shd w:val="clear" w:color="auto" w:fill="DFEADF" w:themeFill="accent2" w:themeFillTint="66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To assure standards you might need to consider…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Time-constrained unseen exams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in invigilated exam rooms or </w:t>
            </w: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in-class tests</w:t>
            </w:r>
          </w:p>
        </w:tc>
        <w:tc>
          <w:tcPr>
            <w:tcW w:w="5500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“Take-away” exams,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in which you set the questions or tasks virtually and ask the students to submit their responses electronically within a set period of time (</w:t>
            </w:r>
            <w:r w:rsidR="005870D9" w:rsidRPr="00D56BDA">
              <w:rPr>
                <w:rFonts w:ascii="Arial" w:hAnsi="Arial" w:cs="Arial"/>
                <w:bCs/>
                <w:sz w:val="24"/>
                <w:szCs w:val="24"/>
              </w:rPr>
              <w:t>24 hours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As with normal take-away papers, because students have access to materials, the design of questions may need to be reframed to move away from recall-based tasks to questions that require students to demonstrate how they </w:t>
            </w:r>
            <w:r w:rsidRPr="00D56BD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use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information rather than reiterate what they have learned. It will be important, therefore, to provide guidance for students in the change in orientation of the task. </w:t>
            </w:r>
            <w:r w:rsidRPr="00D56BDA">
              <w:rPr>
                <w:rFonts w:ascii="Arial" w:hAnsi="Arial" w:cs="Arial"/>
                <w:sz w:val="24"/>
                <w:szCs w:val="24"/>
              </w:rPr>
              <w:t>It is also good practice to re-run any changes to question formats through the usual moderation processes.</w:t>
            </w: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>To deter cheating you could advise students that you will run ‘spot checks’ or mini-</w:t>
            </w:r>
            <w:proofErr w:type="spellStart"/>
            <w:r w:rsidRPr="00D56BDA">
              <w:rPr>
                <w:rFonts w:ascii="Arial" w:hAnsi="Arial" w:cs="Arial"/>
                <w:bCs/>
                <w:sz w:val="24"/>
                <w:szCs w:val="24"/>
              </w:rPr>
              <w:t>vivas</w:t>
            </w:r>
            <w:proofErr w:type="spellEnd"/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with a sample of the student population, where you will discuss their reasoning for the answers they’ve provided. 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In-class presentations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where students speak to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an audience of their peers/others and are assessed not only on the content but also their presentation techniques.</w:t>
            </w:r>
          </w:p>
        </w:tc>
        <w:tc>
          <w:tcPr>
            <w:tcW w:w="5500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Ask students (individually or in groups) to submit a </w:t>
            </w: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narrated presentation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in electronic form which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can then be tutor-marked and peer-reviewed.</w:t>
            </w: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>Ask students to prepare a podcast on the topic to be submitted electronically.</w:t>
            </w:r>
            <w:r w:rsidR="00D56BDA" w:rsidRPr="00D56B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You will need to take account of the fact that, given the recorded presentation format, students can have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multiple opportunities to prepare the item they are submitting, rather than having to cope with the one-off nature of a live presentation.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Viva Voce exams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, e.g. for PhD examinations in person, or other forms of oral assessment (e.g</w:t>
            </w:r>
            <w:r w:rsidR="00084C05" w:rsidRPr="00D56BD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in language learning).</w:t>
            </w:r>
          </w:p>
        </w:tc>
        <w:tc>
          <w:tcPr>
            <w:tcW w:w="5500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These could readily be undertaken by </w:t>
            </w:r>
            <w:r w:rsidR="00084C05" w:rsidRPr="00D56BDA">
              <w:rPr>
                <w:rFonts w:ascii="Arial" w:hAnsi="Arial" w:cs="Arial"/>
                <w:bCs/>
                <w:sz w:val="24"/>
                <w:szCs w:val="24"/>
              </w:rPr>
              <w:t>Blackboard</w:t>
            </w:r>
            <w:r w:rsidR="00084C05" w:rsidRPr="00D56BDA">
              <w:rPr>
                <w:rFonts w:ascii="Arial" w:hAnsi="Arial" w:cs="Arial"/>
                <w:bCs/>
                <w:sz w:val="24"/>
                <w:szCs w:val="24"/>
              </w:rPr>
              <w:t xml:space="preserve"> Collaborate or Zoom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or other electronic remote means (as indeed they already are on occasions when Doctoral examinations are undertaken transnationally).</w:t>
            </w: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Students may need significant support in developing confidence to work virtually where they have no prior experience. 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Assessed seminars, group discussions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and other similar activities.</w:t>
            </w:r>
          </w:p>
        </w:tc>
        <w:tc>
          <w:tcPr>
            <w:tcW w:w="5500" w:type="dxa"/>
          </w:tcPr>
          <w:p w:rsidR="004E2EEC" w:rsidRPr="00D56BDA" w:rsidRDefault="00084C05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4E2EEC" w:rsidRPr="00D56BDA">
              <w:rPr>
                <w:rFonts w:ascii="Arial" w:hAnsi="Arial" w:cs="Arial"/>
                <w:bCs/>
                <w:sz w:val="24"/>
                <w:szCs w:val="24"/>
              </w:rPr>
              <w:t xml:space="preserve">hese could be held in an online platform already used within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the U</w:t>
            </w:r>
            <w:r w:rsidR="004E2EEC" w:rsidRPr="00D56BDA">
              <w:rPr>
                <w:rFonts w:ascii="Arial" w:hAnsi="Arial" w:cs="Arial"/>
                <w:bCs/>
                <w:sz w:val="24"/>
                <w:szCs w:val="24"/>
              </w:rPr>
              <w:t xml:space="preserve">niversity such as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Blackboard Collaborate or Zoom</w:t>
            </w:r>
            <w:r w:rsidR="004E2EEC" w:rsidRPr="00D56BD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Staff as well as students </w:t>
            </w:r>
            <w:proofErr w:type="gramStart"/>
            <w:r w:rsidRPr="00D56BDA">
              <w:rPr>
                <w:rFonts w:ascii="Arial" w:hAnsi="Arial" w:cs="Arial"/>
                <w:bCs/>
                <w:sz w:val="24"/>
                <w:szCs w:val="24"/>
              </w:rPr>
              <w:t>may need</w:t>
            </w:r>
            <w:proofErr w:type="gramEnd"/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be supported to learn how to use this approach if it isn’t currently part of their normal learning experiences.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Lab work</w:t>
            </w: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It may be possible to replicate some aspects of lab work through simulations in which students are presented with data sets </w:t>
            </w:r>
            <w:r w:rsidR="00084C05" w:rsidRPr="00D56BDA">
              <w:rPr>
                <w:rFonts w:ascii="Arial" w:hAnsi="Arial" w:cs="Arial"/>
                <w:bCs/>
                <w:sz w:val="24"/>
                <w:szCs w:val="24"/>
              </w:rPr>
              <w:t xml:space="preserve">or scenarios online (via Blackboard)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084C05" w:rsidRPr="00D56BDA">
              <w:rPr>
                <w:rFonts w:ascii="Arial" w:hAnsi="Arial" w:cs="Arial"/>
                <w:bCs/>
                <w:sz w:val="24"/>
                <w:szCs w:val="24"/>
              </w:rPr>
              <w:t xml:space="preserve">are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required to interpret them. Often this means focusing on </w:t>
            </w:r>
            <w:r w:rsidRPr="00D56BDA">
              <w:rPr>
                <w:rFonts w:ascii="Arial" w:hAnsi="Arial" w:cs="Arial"/>
                <w:bCs/>
                <w:i/>
                <w:sz w:val="24"/>
                <w:szCs w:val="24"/>
              </w:rPr>
              <w:t>interpretation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of data rather than working in the lab to achieve the results personally</w:t>
            </w: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If students can be provided with </w:t>
            </w:r>
            <w:r w:rsidRPr="00D56BD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different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data sets for personal interpretation, this can mitigate the risk of ‘over-sharing’ or personation.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Posters</w:t>
            </w: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:rsidR="004E2EEC" w:rsidRPr="00D56BDA" w:rsidRDefault="002A6925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56BDA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4E2EEC" w:rsidRPr="00D56BDA">
              <w:rPr>
                <w:rFonts w:ascii="Arial" w:hAnsi="Arial" w:cs="Arial"/>
                <w:bCs/>
                <w:sz w:val="24"/>
                <w:szCs w:val="24"/>
              </w:rPr>
              <w:t>se a digital infographic, mind map or other visuals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, ask</w:t>
            </w:r>
            <w:proofErr w:type="gramEnd"/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students to submit on line </w:t>
            </w:r>
            <w:r w:rsidR="004E2EEC" w:rsidRPr="00D56BDA">
              <w:rPr>
                <w:rFonts w:ascii="Arial" w:hAnsi="Arial" w:cs="Arial"/>
                <w:bCs/>
                <w:sz w:val="24"/>
                <w:szCs w:val="24"/>
              </w:rPr>
              <w:t xml:space="preserve">or 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post</w:t>
            </w:r>
            <w:r w:rsidR="004E2EEC" w:rsidRPr="00D56BDA">
              <w:rPr>
                <w:rFonts w:ascii="Arial" w:hAnsi="Arial" w:cs="Arial"/>
                <w:bCs/>
                <w:sz w:val="24"/>
                <w:szCs w:val="24"/>
              </w:rPr>
              <w:t xml:space="preserve"> in shared spaces, particularly if peer review is required.</w:t>
            </w: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To confirm authenticity of the submitter, you may wish to supplement this with a short online oral. </w:t>
            </w:r>
          </w:p>
        </w:tc>
      </w:tr>
      <w:tr w:rsidR="004E2EEC" w:rsidRPr="00D56BDA" w:rsidTr="00D56BDA">
        <w:tc>
          <w:tcPr>
            <w:tcW w:w="2972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/>
                <w:bCs/>
                <w:sz w:val="24"/>
                <w:szCs w:val="24"/>
              </w:rPr>
              <w:t>Peer assessments and support.</w:t>
            </w:r>
          </w:p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BDA">
              <w:rPr>
                <w:rFonts w:ascii="Arial" w:hAnsi="Arial" w:cs="Arial"/>
                <w:bCs/>
                <w:sz w:val="24"/>
                <w:szCs w:val="24"/>
              </w:rPr>
              <w:t>Peers can email each other drafts for comments</w:t>
            </w:r>
            <w:r w:rsidR="002A6925" w:rsidRPr="00D56BDA">
              <w:rPr>
                <w:rFonts w:ascii="Arial" w:hAnsi="Arial" w:cs="Arial"/>
                <w:bCs/>
                <w:sz w:val="24"/>
                <w:szCs w:val="24"/>
              </w:rPr>
              <w:t>, using Google Apps/Office 360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 xml:space="preserve"> or use a virtual space within </w:t>
            </w:r>
            <w:r w:rsidR="002A6925" w:rsidRPr="00D56BDA">
              <w:rPr>
                <w:rFonts w:ascii="Arial" w:hAnsi="Arial" w:cs="Arial"/>
                <w:bCs/>
                <w:sz w:val="24"/>
                <w:szCs w:val="24"/>
              </w:rPr>
              <w:t>Blackboard</w:t>
            </w:r>
            <w:r w:rsidRPr="00D56BD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E2EEC" w:rsidRPr="00D56BDA" w:rsidRDefault="004E2EEC" w:rsidP="00D56BDA">
            <w:pPr>
              <w:spacing w:before="120" w:after="120" w:line="33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E2EEC" w:rsidRPr="00D56BDA" w:rsidRDefault="004E2EEC" w:rsidP="00D56BDA">
      <w:pPr>
        <w:spacing w:before="120" w:after="120" w:line="360" w:lineRule="auto"/>
        <w:rPr>
          <w:rFonts w:ascii="Arial" w:hAnsi="Arial" w:cs="Arial"/>
        </w:rPr>
      </w:pPr>
    </w:p>
    <w:sectPr w:rsidR="004E2EEC" w:rsidRPr="00D56BDA" w:rsidSect="004E2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14830_"/>
      </v:shape>
    </w:pict>
  </w:numPicBullet>
  <w:abstractNum w:abstractNumId="0">
    <w:nsid w:val="3E587F88"/>
    <w:multiLevelType w:val="hybridMultilevel"/>
    <w:tmpl w:val="38EAC654"/>
    <w:lvl w:ilvl="0" w:tplc="B78E6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C"/>
    <w:rsid w:val="00023271"/>
    <w:rsid w:val="000448CB"/>
    <w:rsid w:val="000715F7"/>
    <w:rsid w:val="00080379"/>
    <w:rsid w:val="00084C05"/>
    <w:rsid w:val="00091B48"/>
    <w:rsid w:val="000B09B4"/>
    <w:rsid w:val="001202DF"/>
    <w:rsid w:val="00121FB9"/>
    <w:rsid w:val="001234D5"/>
    <w:rsid w:val="00163DCA"/>
    <w:rsid w:val="001849A2"/>
    <w:rsid w:val="001C5732"/>
    <w:rsid w:val="001D5046"/>
    <w:rsid w:val="001D673C"/>
    <w:rsid w:val="001E73B9"/>
    <w:rsid w:val="001F38F9"/>
    <w:rsid w:val="00204DC9"/>
    <w:rsid w:val="00251627"/>
    <w:rsid w:val="002543EA"/>
    <w:rsid w:val="00260960"/>
    <w:rsid w:val="00262A01"/>
    <w:rsid w:val="0026489C"/>
    <w:rsid w:val="002776E0"/>
    <w:rsid w:val="00285AAB"/>
    <w:rsid w:val="002A6925"/>
    <w:rsid w:val="002A71F7"/>
    <w:rsid w:val="002D0A37"/>
    <w:rsid w:val="002D74C7"/>
    <w:rsid w:val="002F206C"/>
    <w:rsid w:val="00355A48"/>
    <w:rsid w:val="00362CCA"/>
    <w:rsid w:val="003A1EA2"/>
    <w:rsid w:val="003A2E72"/>
    <w:rsid w:val="003C57BC"/>
    <w:rsid w:val="003C7847"/>
    <w:rsid w:val="003F6B50"/>
    <w:rsid w:val="004076F7"/>
    <w:rsid w:val="00416C03"/>
    <w:rsid w:val="00433BEC"/>
    <w:rsid w:val="00444A3C"/>
    <w:rsid w:val="00494F43"/>
    <w:rsid w:val="004E0BD6"/>
    <w:rsid w:val="004E172E"/>
    <w:rsid w:val="004E2CA9"/>
    <w:rsid w:val="004E2EEC"/>
    <w:rsid w:val="004E38FA"/>
    <w:rsid w:val="004F3316"/>
    <w:rsid w:val="00503C55"/>
    <w:rsid w:val="005167EC"/>
    <w:rsid w:val="005753A2"/>
    <w:rsid w:val="005870D9"/>
    <w:rsid w:val="005963E1"/>
    <w:rsid w:val="005A2C81"/>
    <w:rsid w:val="005B0358"/>
    <w:rsid w:val="005D1132"/>
    <w:rsid w:val="005F0A16"/>
    <w:rsid w:val="006639A9"/>
    <w:rsid w:val="00672053"/>
    <w:rsid w:val="006A0D6E"/>
    <w:rsid w:val="006E4474"/>
    <w:rsid w:val="007044DA"/>
    <w:rsid w:val="007147DE"/>
    <w:rsid w:val="00720E7B"/>
    <w:rsid w:val="0074362F"/>
    <w:rsid w:val="00794F18"/>
    <w:rsid w:val="007B713F"/>
    <w:rsid w:val="007E0DCB"/>
    <w:rsid w:val="007E2951"/>
    <w:rsid w:val="007F09C6"/>
    <w:rsid w:val="00806D29"/>
    <w:rsid w:val="00826E55"/>
    <w:rsid w:val="0086659C"/>
    <w:rsid w:val="008672AB"/>
    <w:rsid w:val="008746E2"/>
    <w:rsid w:val="00887AF4"/>
    <w:rsid w:val="008B0797"/>
    <w:rsid w:val="008B0D5C"/>
    <w:rsid w:val="008D512C"/>
    <w:rsid w:val="008D60B6"/>
    <w:rsid w:val="008F7B14"/>
    <w:rsid w:val="00973C6C"/>
    <w:rsid w:val="009758E6"/>
    <w:rsid w:val="00975AF2"/>
    <w:rsid w:val="009A71F0"/>
    <w:rsid w:val="009B4F7D"/>
    <w:rsid w:val="009D1BB4"/>
    <w:rsid w:val="009D7556"/>
    <w:rsid w:val="009E2039"/>
    <w:rsid w:val="009E4CC9"/>
    <w:rsid w:val="00A218DC"/>
    <w:rsid w:val="00A40672"/>
    <w:rsid w:val="00A60667"/>
    <w:rsid w:val="00AC383E"/>
    <w:rsid w:val="00AC7089"/>
    <w:rsid w:val="00AF3B3F"/>
    <w:rsid w:val="00B02C2E"/>
    <w:rsid w:val="00B1630C"/>
    <w:rsid w:val="00B16655"/>
    <w:rsid w:val="00B22BC8"/>
    <w:rsid w:val="00B27186"/>
    <w:rsid w:val="00B5233A"/>
    <w:rsid w:val="00B722BC"/>
    <w:rsid w:val="00B751DE"/>
    <w:rsid w:val="00B773F2"/>
    <w:rsid w:val="00BC1A98"/>
    <w:rsid w:val="00BC4DC2"/>
    <w:rsid w:val="00BC6D07"/>
    <w:rsid w:val="00BC7CF2"/>
    <w:rsid w:val="00BD4EF8"/>
    <w:rsid w:val="00BF4780"/>
    <w:rsid w:val="00C30F42"/>
    <w:rsid w:val="00C44731"/>
    <w:rsid w:val="00C56433"/>
    <w:rsid w:val="00CB5B2E"/>
    <w:rsid w:val="00D0497D"/>
    <w:rsid w:val="00D07142"/>
    <w:rsid w:val="00D3364E"/>
    <w:rsid w:val="00D54F8D"/>
    <w:rsid w:val="00D56BDA"/>
    <w:rsid w:val="00D57D4F"/>
    <w:rsid w:val="00D777DF"/>
    <w:rsid w:val="00DA4898"/>
    <w:rsid w:val="00DC0739"/>
    <w:rsid w:val="00DC37C5"/>
    <w:rsid w:val="00DF118B"/>
    <w:rsid w:val="00E016D9"/>
    <w:rsid w:val="00E117B2"/>
    <w:rsid w:val="00E54ACE"/>
    <w:rsid w:val="00E6633F"/>
    <w:rsid w:val="00E77775"/>
    <w:rsid w:val="00E82F7F"/>
    <w:rsid w:val="00EE555A"/>
    <w:rsid w:val="00EF67E1"/>
    <w:rsid w:val="00EF7B0C"/>
    <w:rsid w:val="00F0478A"/>
    <w:rsid w:val="00F34F50"/>
    <w:rsid w:val="00F41250"/>
    <w:rsid w:val="00F7573B"/>
    <w:rsid w:val="00F95F54"/>
    <w:rsid w:val="00F97459"/>
    <w:rsid w:val="00FC1B64"/>
    <w:rsid w:val="00FC71D3"/>
    <w:rsid w:val="00FD6E0B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E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5C"/>
    <w:pPr>
      <w:spacing w:after="120" w:line="360" w:lineRule="auto"/>
      <w:outlineLvl w:val="0"/>
    </w:pPr>
    <w:rPr>
      <w:rFonts w:asciiTheme="minorBidi" w:hAnsiTheme="minorBidi"/>
      <w:b/>
      <w:bCs/>
      <w:color w:val="621B4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5C"/>
    <w:pPr>
      <w:spacing w:after="120" w:line="360" w:lineRule="auto"/>
      <w:outlineLvl w:val="1"/>
    </w:pPr>
    <w:rPr>
      <w:rFonts w:asciiTheme="minorBidi" w:hAnsiTheme="minorBidi"/>
      <w:b/>
      <w:bCs/>
      <w:color w:val="621B4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5C"/>
    <w:pPr>
      <w:spacing w:after="120" w:line="360" w:lineRule="auto"/>
      <w:outlineLvl w:val="2"/>
    </w:pPr>
    <w:rPr>
      <w:rFonts w:asciiTheme="minorBidi" w:hAnsiTheme="minorBidi"/>
      <w:b/>
      <w:bCs/>
      <w:color w:val="B70D5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D5C"/>
    <w:pPr>
      <w:spacing w:after="120" w:line="360" w:lineRule="auto"/>
      <w:outlineLvl w:val="3"/>
    </w:pPr>
    <w:rPr>
      <w:rFonts w:asciiTheme="minorBidi" w:hAnsiTheme="minorBidi"/>
      <w:color w:val="B70D50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D5C"/>
    <w:pPr>
      <w:pBdr>
        <w:bottom w:val="single" w:sz="6" w:space="1" w:color="4F81BD"/>
      </w:pBdr>
      <w:spacing w:before="300" w:after="0" w:line="360" w:lineRule="auto"/>
      <w:outlineLvl w:val="4"/>
    </w:pPr>
    <w:rPr>
      <w:rFonts w:ascii="Calibri" w:hAnsi="Calibri" w:cs="Arial"/>
      <w:caps/>
      <w:color w:val="365F91"/>
      <w:spacing w:val="1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D5C"/>
    <w:pPr>
      <w:pBdr>
        <w:bottom w:val="dotted" w:sz="6" w:space="1" w:color="4F81BD"/>
      </w:pBdr>
      <w:spacing w:before="300" w:after="0" w:line="360" w:lineRule="auto"/>
      <w:outlineLvl w:val="5"/>
    </w:pPr>
    <w:rPr>
      <w:rFonts w:ascii="Calibri" w:hAnsi="Calibri" w:cs="Arial"/>
      <w:caps/>
      <w:color w:val="365F91"/>
      <w:spacing w:val="1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D5C"/>
    <w:pPr>
      <w:spacing w:before="300" w:after="0" w:line="360" w:lineRule="auto"/>
      <w:outlineLvl w:val="6"/>
    </w:pPr>
    <w:rPr>
      <w:rFonts w:ascii="Calibri" w:hAnsi="Calibri" w:cs="Arial"/>
      <w:caps/>
      <w:color w:val="365F91"/>
      <w:spacing w:val="1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D5C"/>
    <w:pPr>
      <w:spacing w:before="300" w:after="0" w:line="360" w:lineRule="auto"/>
      <w:outlineLvl w:val="7"/>
    </w:pPr>
    <w:rPr>
      <w:rFonts w:ascii="Calibri" w:hAnsi="Calibri" w:cs="Arial"/>
      <w:caps/>
      <w:spacing w:val="10"/>
      <w:sz w:val="18"/>
      <w:szCs w:val="18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D5C"/>
    <w:pPr>
      <w:spacing w:before="300" w:after="0" w:line="360" w:lineRule="auto"/>
      <w:outlineLvl w:val="8"/>
    </w:pPr>
    <w:rPr>
      <w:rFonts w:ascii="Calibri" w:hAnsi="Calibri" w:cs="Arial"/>
      <w:i/>
      <w:caps/>
      <w:spacing w:val="1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0D5C"/>
    <w:rPr>
      <w:rFonts w:asciiTheme="minorBidi" w:hAnsiTheme="minorBidi" w:cstheme="minorBidi"/>
      <w:b/>
      <w:bCs/>
      <w:color w:val="621B40"/>
      <w:sz w:val="28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B0D5C"/>
    <w:rPr>
      <w:rFonts w:asciiTheme="minorBidi" w:hAnsiTheme="minorBidi" w:cstheme="minorBidi"/>
      <w:b/>
      <w:bCs/>
      <w:color w:val="621B40"/>
      <w:sz w:val="26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B0D5C"/>
    <w:rPr>
      <w:rFonts w:asciiTheme="minorBidi" w:hAnsiTheme="minorBidi" w:cstheme="minorBidi"/>
      <w:b/>
      <w:bCs/>
      <w:color w:val="B70D50"/>
      <w:sz w:val="26"/>
      <w:szCs w:val="26"/>
      <w:lang w:eastAsia="en-US" w:bidi="en-US"/>
    </w:rPr>
  </w:style>
  <w:style w:type="character" w:customStyle="1" w:styleId="Heading4Char">
    <w:name w:val="Heading 4 Char"/>
    <w:link w:val="Heading4"/>
    <w:uiPriority w:val="9"/>
    <w:rsid w:val="008B0D5C"/>
    <w:rPr>
      <w:rFonts w:asciiTheme="minorBidi" w:hAnsiTheme="minorBidi" w:cstheme="minorBidi"/>
      <w:color w:val="B70D50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B0D5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8B0D5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8B0D5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8B0D5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B0D5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D5C"/>
    <w:pPr>
      <w:spacing w:after="120" w:line="360" w:lineRule="auto"/>
    </w:pPr>
    <w:rPr>
      <w:rFonts w:asciiTheme="minorBidi" w:hAnsiTheme="minorBidi"/>
      <w:b/>
      <w:bCs/>
      <w:color w:val="365F91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B0D5C"/>
    <w:pPr>
      <w:spacing w:before="720" w:after="120" w:line="360" w:lineRule="auto"/>
    </w:pPr>
    <w:rPr>
      <w:rFonts w:ascii="Calibri" w:hAnsi="Calibri" w:cs="Arial"/>
      <w:caps/>
      <w:color w:val="4F81BD"/>
      <w:spacing w:val="10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8B0D5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D5C"/>
    <w:pPr>
      <w:spacing w:after="1000" w:line="240" w:lineRule="auto"/>
    </w:pPr>
    <w:rPr>
      <w:rFonts w:ascii="Calibri" w:hAnsi="Calibri" w:cs="Arial"/>
      <w:caps/>
      <w:color w:val="595959"/>
      <w:spacing w:val="10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8B0D5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B0D5C"/>
    <w:rPr>
      <w:b/>
      <w:bCs/>
    </w:rPr>
  </w:style>
  <w:style w:type="character" w:styleId="Emphasis">
    <w:name w:val="Emphasis"/>
    <w:uiPriority w:val="20"/>
    <w:qFormat/>
    <w:rsid w:val="008B0D5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B0D5C"/>
    <w:pPr>
      <w:spacing w:after="0" w:line="240" w:lineRule="auto"/>
    </w:pPr>
    <w:rPr>
      <w:rFonts w:ascii="Calibri" w:hAnsi="Calibri" w:cs="Arial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8B0D5C"/>
  </w:style>
  <w:style w:type="paragraph" w:styleId="ListParagraph">
    <w:name w:val="List Paragraph"/>
    <w:basedOn w:val="Normal"/>
    <w:uiPriority w:val="34"/>
    <w:qFormat/>
    <w:rsid w:val="008B0D5C"/>
    <w:pPr>
      <w:spacing w:after="120" w:line="360" w:lineRule="auto"/>
      <w:ind w:left="720"/>
      <w:contextualSpacing/>
    </w:pPr>
    <w:rPr>
      <w:rFonts w:asciiTheme="minorBidi" w:hAnsiTheme="minorBid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B0D5C"/>
    <w:pPr>
      <w:spacing w:after="120" w:line="360" w:lineRule="auto"/>
    </w:pPr>
    <w:rPr>
      <w:rFonts w:ascii="Calibri" w:hAnsi="Calibri" w:cs="Arial"/>
      <w:i/>
      <w:iCs/>
      <w:sz w:val="20"/>
      <w:szCs w:val="20"/>
      <w:lang w:eastAsia="ja-JP"/>
    </w:rPr>
  </w:style>
  <w:style w:type="character" w:customStyle="1" w:styleId="QuoteChar">
    <w:name w:val="Quote Char"/>
    <w:link w:val="Quote"/>
    <w:uiPriority w:val="29"/>
    <w:rsid w:val="008B0D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D5C"/>
    <w:pPr>
      <w:pBdr>
        <w:top w:val="single" w:sz="4" w:space="10" w:color="4F81BD"/>
        <w:left w:val="single" w:sz="4" w:space="10" w:color="4F81BD"/>
      </w:pBdr>
      <w:spacing w:after="0" w:line="360" w:lineRule="auto"/>
      <w:ind w:left="1296" w:right="1152"/>
      <w:jc w:val="both"/>
    </w:pPr>
    <w:rPr>
      <w:rFonts w:ascii="Calibri" w:hAnsi="Calibri" w:cs="Arial"/>
      <w:i/>
      <w:iCs/>
      <w:color w:val="4F81BD"/>
      <w:sz w:val="20"/>
      <w:szCs w:val="20"/>
      <w:lang w:eastAsia="ja-JP"/>
    </w:rPr>
  </w:style>
  <w:style w:type="character" w:customStyle="1" w:styleId="IntenseQuoteChar">
    <w:name w:val="Intense Quote Char"/>
    <w:link w:val="IntenseQuote"/>
    <w:uiPriority w:val="30"/>
    <w:rsid w:val="008B0D5C"/>
    <w:rPr>
      <w:i/>
      <w:iCs/>
      <w:color w:val="4F81BD"/>
    </w:rPr>
  </w:style>
  <w:style w:type="character" w:styleId="SubtleEmphasis">
    <w:name w:val="Subtle Emphasis"/>
    <w:uiPriority w:val="19"/>
    <w:qFormat/>
    <w:rsid w:val="008B0D5C"/>
    <w:rPr>
      <w:i/>
      <w:iCs/>
      <w:color w:val="243F60"/>
    </w:rPr>
  </w:style>
  <w:style w:type="character" w:styleId="IntenseEmphasis">
    <w:name w:val="Intense Emphasis"/>
    <w:uiPriority w:val="21"/>
    <w:qFormat/>
    <w:rsid w:val="008B0D5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B0D5C"/>
    <w:rPr>
      <w:b/>
      <w:bCs/>
      <w:color w:val="4F81BD"/>
    </w:rPr>
  </w:style>
  <w:style w:type="character" w:styleId="IntenseReference">
    <w:name w:val="Intense Reference"/>
    <w:uiPriority w:val="32"/>
    <w:qFormat/>
    <w:rsid w:val="008B0D5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B0D5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D5C"/>
    <w:pPr>
      <w:outlineLvl w:val="9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E2E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EEC"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EEC"/>
    <w:rPr>
      <w:rFonts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E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5C"/>
    <w:pPr>
      <w:spacing w:after="120" w:line="360" w:lineRule="auto"/>
      <w:outlineLvl w:val="0"/>
    </w:pPr>
    <w:rPr>
      <w:rFonts w:asciiTheme="minorBidi" w:hAnsiTheme="minorBidi"/>
      <w:b/>
      <w:bCs/>
      <w:color w:val="621B4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5C"/>
    <w:pPr>
      <w:spacing w:after="120" w:line="360" w:lineRule="auto"/>
      <w:outlineLvl w:val="1"/>
    </w:pPr>
    <w:rPr>
      <w:rFonts w:asciiTheme="minorBidi" w:hAnsiTheme="minorBidi"/>
      <w:b/>
      <w:bCs/>
      <w:color w:val="621B4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5C"/>
    <w:pPr>
      <w:spacing w:after="120" w:line="360" w:lineRule="auto"/>
      <w:outlineLvl w:val="2"/>
    </w:pPr>
    <w:rPr>
      <w:rFonts w:asciiTheme="minorBidi" w:hAnsiTheme="minorBidi"/>
      <w:b/>
      <w:bCs/>
      <w:color w:val="B70D5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D5C"/>
    <w:pPr>
      <w:spacing w:after="120" w:line="360" w:lineRule="auto"/>
      <w:outlineLvl w:val="3"/>
    </w:pPr>
    <w:rPr>
      <w:rFonts w:asciiTheme="minorBidi" w:hAnsiTheme="minorBidi"/>
      <w:color w:val="B70D50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D5C"/>
    <w:pPr>
      <w:pBdr>
        <w:bottom w:val="single" w:sz="6" w:space="1" w:color="4F81BD"/>
      </w:pBdr>
      <w:spacing w:before="300" w:after="0" w:line="360" w:lineRule="auto"/>
      <w:outlineLvl w:val="4"/>
    </w:pPr>
    <w:rPr>
      <w:rFonts w:ascii="Calibri" w:hAnsi="Calibri" w:cs="Arial"/>
      <w:caps/>
      <w:color w:val="365F91"/>
      <w:spacing w:val="1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D5C"/>
    <w:pPr>
      <w:pBdr>
        <w:bottom w:val="dotted" w:sz="6" w:space="1" w:color="4F81BD"/>
      </w:pBdr>
      <w:spacing w:before="300" w:after="0" w:line="360" w:lineRule="auto"/>
      <w:outlineLvl w:val="5"/>
    </w:pPr>
    <w:rPr>
      <w:rFonts w:ascii="Calibri" w:hAnsi="Calibri" w:cs="Arial"/>
      <w:caps/>
      <w:color w:val="365F91"/>
      <w:spacing w:val="1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D5C"/>
    <w:pPr>
      <w:spacing w:before="300" w:after="0" w:line="360" w:lineRule="auto"/>
      <w:outlineLvl w:val="6"/>
    </w:pPr>
    <w:rPr>
      <w:rFonts w:ascii="Calibri" w:hAnsi="Calibri" w:cs="Arial"/>
      <w:caps/>
      <w:color w:val="365F91"/>
      <w:spacing w:val="1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D5C"/>
    <w:pPr>
      <w:spacing w:before="300" w:after="0" w:line="360" w:lineRule="auto"/>
      <w:outlineLvl w:val="7"/>
    </w:pPr>
    <w:rPr>
      <w:rFonts w:ascii="Calibri" w:hAnsi="Calibri" w:cs="Arial"/>
      <w:caps/>
      <w:spacing w:val="10"/>
      <w:sz w:val="18"/>
      <w:szCs w:val="18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D5C"/>
    <w:pPr>
      <w:spacing w:before="300" w:after="0" w:line="360" w:lineRule="auto"/>
      <w:outlineLvl w:val="8"/>
    </w:pPr>
    <w:rPr>
      <w:rFonts w:ascii="Calibri" w:hAnsi="Calibri" w:cs="Arial"/>
      <w:i/>
      <w:caps/>
      <w:spacing w:val="1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0D5C"/>
    <w:rPr>
      <w:rFonts w:asciiTheme="minorBidi" w:hAnsiTheme="minorBidi" w:cstheme="minorBidi"/>
      <w:b/>
      <w:bCs/>
      <w:color w:val="621B40"/>
      <w:sz w:val="28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B0D5C"/>
    <w:rPr>
      <w:rFonts w:asciiTheme="minorBidi" w:hAnsiTheme="minorBidi" w:cstheme="minorBidi"/>
      <w:b/>
      <w:bCs/>
      <w:color w:val="621B40"/>
      <w:sz w:val="26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B0D5C"/>
    <w:rPr>
      <w:rFonts w:asciiTheme="minorBidi" w:hAnsiTheme="minorBidi" w:cstheme="minorBidi"/>
      <w:b/>
      <w:bCs/>
      <w:color w:val="B70D50"/>
      <w:sz w:val="26"/>
      <w:szCs w:val="26"/>
      <w:lang w:eastAsia="en-US" w:bidi="en-US"/>
    </w:rPr>
  </w:style>
  <w:style w:type="character" w:customStyle="1" w:styleId="Heading4Char">
    <w:name w:val="Heading 4 Char"/>
    <w:link w:val="Heading4"/>
    <w:uiPriority w:val="9"/>
    <w:rsid w:val="008B0D5C"/>
    <w:rPr>
      <w:rFonts w:asciiTheme="minorBidi" w:hAnsiTheme="minorBidi" w:cstheme="minorBidi"/>
      <w:color w:val="B70D50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B0D5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8B0D5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8B0D5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8B0D5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B0D5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D5C"/>
    <w:pPr>
      <w:spacing w:after="120" w:line="360" w:lineRule="auto"/>
    </w:pPr>
    <w:rPr>
      <w:rFonts w:asciiTheme="minorBidi" w:hAnsiTheme="minorBidi"/>
      <w:b/>
      <w:bCs/>
      <w:color w:val="365F91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B0D5C"/>
    <w:pPr>
      <w:spacing w:before="720" w:after="120" w:line="360" w:lineRule="auto"/>
    </w:pPr>
    <w:rPr>
      <w:rFonts w:ascii="Calibri" w:hAnsi="Calibri" w:cs="Arial"/>
      <w:caps/>
      <w:color w:val="4F81BD"/>
      <w:spacing w:val="10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8B0D5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D5C"/>
    <w:pPr>
      <w:spacing w:after="1000" w:line="240" w:lineRule="auto"/>
    </w:pPr>
    <w:rPr>
      <w:rFonts w:ascii="Calibri" w:hAnsi="Calibri" w:cs="Arial"/>
      <w:caps/>
      <w:color w:val="595959"/>
      <w:spacing w:val="10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8B0D5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B0D5C"/>
    <w:rPr>
      <w:b/>
      <w:bCs/>
    </w:rPr>
  </w:style>
  <w:style w:type="character" w:styleId="Emphasis">
    <w:name w:val="Emphasis"/>
    <w:uiPriority w:val="20"/>
    <w:qFormat/>
    <w:rsid w:val="008B0D5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B0D5C"/>
    <w:pPr>
      <w:spacing w:after="0" w:line="240" w:lineRule="auto"/>
    </w:pPr>
    <w:rPr>
      <w:rFonts w:ascii="Calibri" w:hAnsi="Calibri" w:cs="Arial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8B0D5C"/>
  </w:style>
  <w:style w:type="paragraph" w:styleId="ListParagraph">
    <w:name w:val="List Paragraph"/>
    <w:basedOn w:val="Normal"/>
    <w:uiPriority w:val="34"/>
    <w:qFormat/>
    <w:rsid w:val="008B0D5C"/>
    <w:pPr>
      <w:spacing w:after="120" w:line="360" w:lineRule="auto"/>
      <w:ind w:left="720"/>
      <w:contextualSpacing/>
    </w:pPr>
    <w:rPr>
      <w:rFonts w:asciiTheme="minorBidi" w:hAnsiTheme="minorBid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B0D5C"/>
    <w:pPr>
      <w:spacing w:after="120" w:line="360" w:lineRule="auto"/>
    </w:pPr>
    <w:rPr>
      <w:rFonts w:ascii="Calibri" w:hAnsi="Calibri" w:cs="Arial"/>
      <w:i/>
      <w:iCs/>
      <w:sz w:val="20"/>
      <w:szCs w:val="20"/>
      <w:lang w:eastAsia="ja-JP"/>
    </w:rPr>
  </w:style>
  <w:style w:type="character" w:customStyle="1" w:styleId="QuoteChar">
    <w:name w:val="Quote Char"/>
    <w:link w:val="Quote"/>
    <w:uiPriority w:val="29"/>
    <w:rsid w:val="008B0D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D5C"/>
    <w:pPr>
      <w:pBdr>
        <w:top w:val="single" w:sz="4" w:space="10" w:color="4F81BD"/>
        <w:left w:val="single" w:sz="4" w:space="10" w:color="4F81BD"/>
      </w:pBdr>
      <w:spacing w:after="0" w:line="360" w:lineRule="auto"/>
      <w:ind w:left="1296" w:right="1152"/>
      <w:jc w:val="both"/>
    </w:pPr>
    <w:rPr>
      <w:rFonts w:ascii="Calibri" w:hAnsi="Calibri" w:cs="Arial"/>
      <w:i/>
      <w:iCs/>
      <w:color w:val="4F81BD"/>
      <w:sz w:val="20"/>
      <w:szCs w:val="20"/>
      <w:lang w:eastAsia="ja-JP"/>
    </w:rPr>
  </w:style>
  <w:style w:type="character" w:customStyle="1" w:styleId="IntenseQuoteChar">
    <w:name w:val="Intense Quote Char"/>
    <w:link w:val="IntenseQuote"/>
    <w:uiPriority w:val="30"/>
    <w:rsid w:val="008B0D5C"/>
    <w:rPr>
      <w:i/>
      <w:iCs/>
      <w:color w:val="4F81BD"/>
    </w:rPr>
  </w:style>
  <w:style w:type="character" w:styleId="SubtleEmphasis">
    <w:name w:val="Subtle Emphasis"/>
    <w:uiPriority w:val="19"/>
    <w:qFormat/>
    <w:rsid w:val="008B0D5C"/>
    <w:rPr>
      <w:i/>
      <w:iCs/>
      <w:color w:val="243F60"/>
    </w:rPr>
  </w:style>
  <w:style w:type="character" w:styleId="IntenseEmphasis">
    <w:name w:val="Intense Emphasis"/>
    <w:uiPriority w:val="21"/>
    <w:qFormat/>
    <w:rsid w:val="008B0D5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B0D5C"/>
    <w:rPr>
      <w:b/>
      <w:bCs/>
      <w:color w:val="4F81BD"/>
    </w:rPr>
  </w:style>
  <w:style w:type="character" w:styleId="IntenseReference">
    <w:name w:val="Intense Reference"/>
    <w:uiPriority w:val="32"/>
    <w:qFormat/>
    <w:rsid w:val="008B0D5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B0D5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D5C"/>
    <w:pPr>
      <w:outlineLvl w:val="9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E2E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EEC"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EEC"/>
    <w:rPr>
      <w:rFonts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Kay</dc:creator>
  <cp:lastModifiedBy>Helen Kay</cp:lastModifiedBy>
  <cp:revision>2</cp:revision>
  <dcterms:created xsi:type="dcterms:W3CDTF">2020-03-27T15:41:00Z</dcterms:created>
  <dcterms:modified xsi:type="dcterms:W3CDTF">2020-03-27T15:41:00Z</dcterms:modified>
</cp:coreProperties>
</file>