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60" w:rsidRDefault="00E34460" w:rsidP="00E34460">
      <w:pPr>
        <w:pStyle w:val="Heading2"/>
      </w:pPr>
      <w:bookmarkStart w:id="0" w:name="_Ref370242878"/>
      <w:bookmarkStart w:id="1" w:name="_Toc400714211"/>
      <w:bookmarkStart w:id="2" w:name="_GoBack"/>
      <w:r>
        <w:t>Record of Peer Review</w:t>
      </w:r>
      <w:bookmarkEnd w:id="0"/>
      <w:r>
        <w:t xml:space="preserve"> &amp; Enhancement</w:t>
      </w:r>
      <w:bookmarkEnd w:id="1"/>
      <w:bookmarkEnd w:id="2"/>
    </w:p>
    <w:p w:rsidR="00E34460" w:rsidRPr="00B7795D" w:rsidRDefault="00E34460" w:rsidP="00E34460">
      <w:pPr>
        <w:pStyle w:val="Note"/>
      </w:pPr>
      <w:r>
        <w:t>To</w:t>
      </w:r>
      <w:r w:rsidRPr="00166718">
        <w:t xml:space="preserve"> be collated at departmental level in order to provide the faculty and university with an audit of P</w:t>
      </w:r>
      <w:r>
        <w:t>RE</w:t>
      </w:r>
      <w:r w:rsidRPr="00166718">
        <w:t>. This information may also be used by Faculty LTA and Quality teams to identify cross-faculty issues or areas for staff development but will not be used to identify individuals.</w:t>
      </w:r>
      <w: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409"/>
      </w:tblGrid>
      <w:tr w:rsidR="00E34460" w:rsidRPr="002B30ED" w:rsidTr="004C2438">
        <w:tc>
          <w:tcPr>
            <w:tcW w:w="2977" w:type="dxa"/>
          </w:tcPr>
          <w:p w:rsidR="00E34460" w:rsidRPr="002B30ED" w:rsidRDefault="00E34460" w:rsidP="004C2438">
            <w:pPr>
              <w:pStyle w:val="TableText"/>
            </w:pPr>
            <w:r w:rsidRPr="002B30ED">
              <w:t>Name of Individual:</w:t>
            </w:r>
          </w:p>
        </w:tc>
        <w:tc>
          <w:tcPr>
            <w:tcW w:w="3686" w:type="dxa"/>
          </w:tcPr>
          <w:p w:rsidR="00E34460" w:rsidRPr="002B30ED" w:rsidRDefault="00E34460" w:rsidP="004C2438">
            <w:pPr>
              <w:pStyle w:val="TableText"/>
            </w:pPr>
          </w:p>
        </w:tc>
        <w:tc>
          <w:tcPr>
            <w:tcW w:w="2409" w:type="dxa"/>
          </w:tcPr>
          <w:p w:rsidR="00E34460" w:rsidRPr="002B30ED" w:rsidRDefault="00E34460" w:rsidP="004C2438">
            <w:pPr>
              <w:pStyle w:val="TableText"/>
            </w:pPr>
            <w:r w:rsidRPr="002B30ED">
              <w:t>Full Time / Part Time</w:t>
            </w:r>
          </w:p>
          <w:p w:rsidR="00E34460" w:rsidRPr="00B7795D" w:rsidRDefault="00E34460" w:rsidP="004C2438">
            <w:pPr>
              <w:pStyle w:val="TableText"/>
              <w:rPr>
                <w:i/>
              </w:rPr>
            </w:pPr>
            <w:r w:rsidRPr="00B7795D">
              <w:rPr>
                <w:i/>
              </w:rPr>
              <w:t>(please delete as appropriate)</w:t>
            </w:r>
          </w:p>
        </w:tc>
      </w:tr>
      <w:tr w:rsidR="00E34460" w:rsidRPr="002B30ED" w:rsidTr="004C2438">
        <w:trPr>
          <w:trHeight w:val="220"/>
        </w:trPr>
        <w:tc>
          <w:tcPr>
            <w:tcW w:w="2977" w:type="dxa"/>
          </w:tcPr>
          <w:p w:rsidR="00E34460" w:rsidRPr="002B30ED" w:rsidRDefault="00E34460" w:rsidP="004C2438">
            <w:pPr>
              <w:pStyle w:val="TableText"/>
            </w:pPr>
            <w:r w:rsidRPr="002B30ED">
              <w:t>Department:</w:t>
            </w:r>
          </w:p>
        </w:tc>
        <w:tc>
          <w:tcPr>
            <w:tcW w:w="6095" w:type="dxa"/>
            <w:gridSpan w:val="2"/>
          </w:tcPr>
          <w:p w:rsidR="00E34460" w:rsidRPr="002B30ED" w:rsidRDefault="00E34460" w:rsidP="004C2438">
            <w:pPr>
              <w:pStyle w:val="TableText"/>
            </w:pPr>
          </w:p>
        </w:tc>
      </w:tr>
      <w:tr w:rsidR="00E34460" w:rsidRPr="002B30ED" w:rsidTr="004C2438">
        <w:trPr>
          <w:trHeight w:val="489"/>
        </w:trPr>
        <w:tc>
          <w:tcPr>
            <w:tcW w:w="2977" w:type="dxa"/>
          </w:tcPr>
          <w:p w:rsidR="00E34460" w:rsidRPr="002B30ED" w:rsidRDefault="00E34460" w:rsidP="004C2438">
            <w:pPr>
              <w:pStyle w:val="TableText"/>
            </w:pPr>
            <w:r w:rsidRPr="002B30ED">
              <w:t>Name(s) of Supporting Colleague(s):</w:t>
            </w:r>
          </w:p>
        </w:tc>
        <w:tc>
          <w:tcPr>
            <w:tcW w:w="6095" w:type="dxa"/>
            <w:gridSpan w:val="2"/>
          </w:tcPr>
          <w:p w:rsidR="00E34460" w:rsidRPr="002B30ED" w:rsidRDefault="00E34460" w:rsidP="004C2438">
            <w:pPr>
              <w:pStyle w:val="TableText"/>
            </w:pPr>
          </w:p>
        </w:tc>
      </w:tr>
      <w:tr w:rsidR="00E34460" w:rsidRPr="002B30ED" w:rsidTr="004C2438">
        <w:tc>
          <w:tcPr>
            <w:tcW w:w="2977" w:type="dxa"/>
          </w:tcPr>
          <w:p w:rsidR="00E34460" w:rsidRPr="002B30ED" w:rsidRDefault="00E34460" w:rsidP="004C2438">
            <w:pPr>
              <w:pStyle w:val="TableText"/>
            </w:pPr>
            <w:r w:rsidRPr="002B30ED">
              <w:t>Dates of Review:</w:t>
            </w:r>
          </w:p>
        </w:tc>
        <w:tc>
          <w:tcPr>
            <w:tcW w:w="6095" w:type="dxa"/>
            <w:gridSpan w:val="2"/>
          </w:tcPr>
          <w:p w:rsidR="00E34460" w:rsidRPr="002B30ED" w:rsidRDefault="00E34460" w:rsidP="004C2438">
            <w:pPr>
              <w:pStyle w:val="TableText"/>
            </w:pPr>
          </w:p>
        </w:tc>
      </w:tr>
    </w:tbl>
    <w:p w:rsidR="00E34460" w:rsidRPr="00E460B5" w:rsidRDefault="00E34460" w:rsidP="00E34460">
      <w:pPr>
        <w:pStyle w:val="FormText"/>
        <w:rPr>
          <w:b/>
        </w:rPr>
      </w:pPr>
      <w:r w:rsidRPr="00E460B5">
        <w:rPr>
          <w:b/>
        </w:rPr>
        <w:t>What was the focus of your review?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4460" w:rsidRPr="00B7795D" w:rsidTr="004C2438">
        <w:trPr>
          <w:trHeight w:val="720"/>
        </w:trPr>
        <w:tc>
          <w:tcPr>
            <w:tcW w:w="9072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</w:tbl>
    <w:p w:rsidR="00E34460" w:rsidRPr="00E460B5" w:rsidRDefault="00E34460" w:rsidP="00E34460">
      <w:pPr>
        <w:pStyle w:val="FormText"/>
        <w:rPr>
          <w:b/>
        </w:rPr>
      </w:pPr>
      <w:r w:rsidRPr="00E460B5">
        <w:rPr>
          <w:b/>
        </w:rPr>
        <w:t>What was the rationale for your focus?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4460" w:rsidRPr="00B7795D" w:rsidTr="004C2438">
        <w:trPr>
          <w:trHeight w:val="766"/>
        </w:trPr>
        <w:tc>
          <w:tcPr>
            <w:tcW w:w="9072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</w:tbl>
    <w:p w:rsidR="00E34460" w:rsidRPr="00E460B5" w:rsidRDefault="00E34460" w:rsidP="00E34460">
      <w:pPr>
        <w:pStyle w:val="FormText"/>
        <w:rPr>
          <w:b/>
        </w:rPr>
      </w:pPr>
      <w:r>
        <w:rPr>
          <w:b/>
        </w:rPr>
        <w:t>O</w:t>
      </w:r>
      <w:r w:rsidRPr="00E460B5">
        <w:rPr>
          <w:b/>
        </w:rPr>
        <w:t xml:space="preserve">utline </w:t>
      </w:r>
      <w:r>
        <w:rPr>
          <w:b/>
        </w:rPr>
        <w:t xml:space="preserve">your </w:t>
      </w:r>
      <w:r w:rsidRPr="00E460B5">
        <w:rPr>
          <w:b/>
        </w:rPr>
        <w:t>chosen review process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E34460" w:rsidRPr="00B7795D" w:rsidTr="004C2438">
        <w:trPr>
          <w:trHeight w:val="629"/>
        </w:trPr>
        <w:tc>
          <w:tcPr>
            <w:tcW w:w="9072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</w:tbl>
    <w:p w:rsidR="00E34460" w:rsidRPr="00A32B96" w:rsidRDefault="00E34460" w:rsidP="00E34460">
      <w:pPr>
        <w:pStyle w:val="FormText"/>
        <w:rPr>
          <w:b/>
        </w:rPr>
      </w:pPr>
      <w:r w:rsidRPr="00A32B96">
        <w:rPr>
          <w:b/>
        </w:rPr>
        <w:t xml:space="preserve">Briefly describe the outcomes of </w:t>
      </w:r>
      <w:r>
        <w:rPr>
          <w:b/>
        </w:rPr>
        <w:t>your PRE activity</w:t>
      </w:r>
    </w:p>
    <w:p w:rsidR="00E34460" w:rsidRPr="002B30ED" w:rsidRDefault="00E34460" w:rsidP="00E34460">
      <w:pPr>
        <w:pStyle w:val="FormText"/>
        <w:rPr>
          <w:sz w:val="22"/>
        </w:rPr>
      </w:pPr>
      <w:proofErr w:type="gramStart"/>
      <w:r w:rsidRPr="002B30ED">
        <w:t>e.g</w:t>
      </w:r>
      <w:proofErr w:type="gramEnd"/>
      <w:r w:rsidRPr="002B30ED">
        <w:t>. any changes to your professional practice or module LTA strategy as a result of your P</w:t>
      </w:r>
      <w:r>
        <w:t>RE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E34460" w:rsidRPr="00B7795D" w:rsidTr="004C2438">
        <w:trPr>
          <w:trHeight w:val="734"/>
        </w:trPr>
        <w:tc>
          <w:tcPr>
            <w:tcW w:w="9072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</w:tbl>
    <w:p w:rsidR="00E34460" w:rsidRDefault="00E34460" w:rsidP="00E34460">
      <w:pPr>
        <w:pStyle w:val="FormText"/>
        <w:rPr>
          <w:b/>
        </w:rPr>
      </w:pPr>
      <w:r w:rsidRPr="00A32B96">
        <w:rPr>
          <w:b/>
        </w:rPr>
        <w:t xml:space="preserve">Indicate how you </w:t>
      </w:r>
      <w:r>
        <w:rPr>
          <w:b/>
        </w:rPr>
        <w:t>can best</w:t>
      </w:r>
      <w:r w:rsidRPr="00A32B96">
        <w:rPr>
          <w:b/>
        </w:rPr>
        <w:t xml:space="preserve"> share the outcomes of your PRE for the benefit of other colleagues</w:t>
      </w:r>
    </w:p>
    <w:p w:rsidR="00E34460" w:rsidRPr="00A32B96" w:rsidRDefault="00E34460" w:rsidP="00E34460">
      <w:pPr>
        <w:pStyle w:val="FormText"/>
        <w:rPr>
          <w:b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068"/>
        <w:gridCol w:w="448"/>
        <w:gridCol w:w="3741"/>
        <w:gridCol w:w="355"/>
        <w:gridCol w:w="460"/>
      </w:tblGrid>
      <w:tr w:rsidR="00E34460" w:rsidRPr="00E143D2" w:rsidTr="004C2438">
        <w:trPr>
          <w:trHeight w:val="543"/>
        </w:trPr>
        <w:tc>
          <w:tcPr>
            <w:tcW w:w="406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Subject team workshop</w:t>
            </w:r>
          </w:p>
        </w:tc>
        <w:tc>
          <w:tcPr>
            <w:tcW w:w="44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University Learning &amp; Teaching Conferences</w:t>
            </w:r>
          </w:p>
        </w:tc>
        <w:tc>
          <w:tcPr>
            <w:tcW w:w="460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  <w:tr w:rsidR="00E34460" w:rsidRPr="00E143D2" w:rsidTr="004C2438">
        <w:trPr>
          <w:trHeight w:val="580"/>
        </w:trPr>
        <w:tc>
          <w:tcPr>
            <w:tcW w:w="406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Departmental meeting</w:t>
            </w:r>
          </w:p>
        </w:tc>
        <w:tc>
          <w:tcPr>
            <w:tcW w:w="44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External seminar and conference</w:t>
            </w:r>
            <w:r>
              <w:rPr>
                <w:sz w:val="18"/>
                <w:szCs w:val="18"/>
              </w:rPr>
              <w:t xml:space="preserve"> submission</w:t>
            </w:r>
          </w:p>
        </w:tc>
        <w:tc>
          <w:tcPr>
            <w:tcW w:w="460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  <w:tr w:rsidR="00E34460" w:rsidRPr="00E143D2" w:rsidTr="004C2438">
        <w:trPr>
          <w:trHeight w:val="571"/>
        </w:trPr>
        <w:tc>
          <w:tcPr>
            <w:tcW w:w="406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Report to Faculty LTA Committee</w:t>
            </w:r>
          </w:p>
        </w:tc>
        <w:tc>
          <w:tcPr>
            <w:tcW w:w="44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Briefing documents</w:t>
            </w:r>
          </w:p>
        </w:tc>
        <w:tc>
          <w:tcPr>
            <w:tcW w:w="460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  <w:tr w:rsidR="00E34460" w:rsidRPr="00E143D2" w:rsidTr="004C2438">
        <w:trPr>
          <w:trHeight w:val="636"/>
        </w:trPr>
        <w:tc>
          <w:tcPr>
            <w:tcW w:w="406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Faculty Learning &amp; Teaching Conferences</w:t>
            </w:r>
          </w:p>
        </w:tc>
        <w:tc>
          <w:tcPr>
            <w:tcW w:w="44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2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 xml:space="preserve">Write a </w:t>
            </w:r>
            <w:r>
              <w:rPr>
                <w:sz w:val="18"/>
                <w:szCs w:val="18"/>
              </w:rPr>
              <w:t>c</w:t>
            </w:r>
            <w:r w:rsidRPr="00B7795D">
              <w:rPr>
                <w:sz w:val="18"/>
                <w:szCs w:val="18"/>
              </w:rPr>
              <w:t xml:space="preserve">ase </w:t>
            </w:r>
            <w:r>
              <w:rPr>
                <w:sz w:val="18"/>
                <w:szCs w:val="18"/>
              </w:rPr>
              <w:t>s</w:t>
            </w:r>
            <w:r w:rsidRPr="00B7795D">
              <w:rPr>
                <w:sz w:val="18"/>
                <w:szCs w:val="18"/>
              </w:rPr>
              <w:t>tudy for publication</w:t>
            </w:r>
          </w:p>
        </w:tc>
        <w:tc>
          <w:tcPr>
            <w:tcW w:w="460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  <w:tr w:rsidR="00E34460" w:rsidRPr="00E143D2" w:rsidTr="004C2438">
        <w:trPr>
          <w:trHeight w:val="823"/>
        </w:trPr>
        <w:tc>
          <w:tcPr>
            <w:tcW w:w="406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Develop or take part in a special interest group on the topic</w:t>
            </w:r>
          </w:p>
        </w:tc>
        <w:tc>
          <w:tcPr>
            <w:tcW w:w="448" w:type="dxa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gridSpan w:val="3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 w:rsidRPr="00B7795D">
              <w:rPr>
                <w:sz w:val="18"/>
                <w:szCs w:val="18"/>
              </w:rPr>
              <w:t>Other:</w:t>
            </w:r>
          </w:p>
        </w:tc>
      </w:tr>
      <w:tr w:rsidR="00E34460" w:rsidRPr="00E143D2" w:rsidTr="004C2438">
        <w:trPr>
          <w:trHeight w:val="823"/>
        </w:trPr>
        <w:tc>
          <w:tcPr>
            <w:tcW w:w="8257" w:type="dxa"/>
            <w:gridSpan w:val="3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would like support with disseminating the outcomes of your PRE please tick here </w:t>
            </w:r>
          </w:p>
        </w:tc>
        <w:tc>
          <w:tcPr>
            <w:tcW w:w="815" w:type="dxa"/>
            <w:gridSpan w:val="2"/>
          </w:tcPr>
          <w:p w:rsidR="00E34460" w:rsidRPr="00B7795D" w:rsidRDefault="00E34460" w:rsidP="004C2438">
            <w:pPr>
              <w:rPr>
                <w:sz w:val="18"/>
                <w:szCs w:val="18"/>
              </w:rPr>
            </w:pPr>
          </w:p>
        </w:tc>
      </w:tr>
    </w:tbl>
    <w:p w:rsidR="00E34460" w:rsidRDefault="00E34460" w:rsidP="00E34460">
      <w:pPr>
        <w:pStyle w:val="Heading2"/>
      </w:pPr>
      <w:bookmarkStart w:id="3" w:name="_Toc400714212"/>
      <w:r>
        <w:lastRenderedPageBreak/>
        <w:t>I</w:t>
      </w:r>
      <w:r w:rsidRPr="002B30ED">
        <w:t xml:space="preserve">ndicate the areas of the UK Professional Standards </w:t>
      </w:r>
      <w:r>
        <w:t>Framework</w:t>
      </w:r>
      <w:r w:rsidRPr="002B30ED">
        <w:t xml:space="preserve"> that your review addresses</w:t>
      </w:r>
      <w:bookmarkEnd w:id="3"/>
    </w:p>
    <w:p w:rsidR="00E34460" w:rsidRPr="001716AF" w:rsidRDefault="00E34460" w:rsidP="00E34460">
      <w:r w:rsidRPr="001716AF">
        <w:t>Be selective when deciding which of the following dimensions in the UKPSF have been directly addressed by your PRE. In most cases an effective PRE activity will generate evidence against between 2 and 5 dimensions.</w:t>
      </w:r>
    </w:p>
    <w:tbl>
      <w:tblPr>
        <w:tblpPr w:leftFromText="180" w:rightFromText="180" w:vertAnchor="text" w:horzAnchor="margin" w:tblpX="108" w:tblpY="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  <w:gridCol w:w="709"/>
      </w:tblGrid>
      <w:tr w:rsidR="00E34460" w:rsidRPr="002B30ED" w:rsidTr="004C2438"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  <w:r w:rsidRPr="002B30ED">
              <w:t>Areas of Activity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A1: Design and plan learning activities and/or programmes of study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A2: Teach and/or support learning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A3: Assess and give feedback to learners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A4: Develop effective learning environments and approaches to student support and guidance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A5: Engage in continuing professional developments in subjects/disciplines and their pedagogy, incorporating research, scholarship and the evaluation of professional practices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  <w:r w:rsidRPr="002B30ED">
              <w:t>Core Knowledge</w:t>
            </w:r>
          </w:p>
        </w:tc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K1: The subject material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K2:  Appropriate methods for teaching and learning in the subject area and at the level of the academic programme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K 3: How students learn, both generally and within their subject/discipline area?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K 4: The use and value of appropriate learning technologies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K 5: Methods for evaluating the effectiveness of teaching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K 6:  The implications of quality assurance and quality enhancement for academic and professional practice with a particular focus on teaching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  <w:r w:rsidRPr="002B30ED">
              <w:t>Professional Values</w:t>
            </w:r>
          </w:p>
        </w:tc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>V1: Respect individual learners and diverse learning communities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V2:  Promote participation in higher education and equality of opportunity for learners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  <w:rPr>
                <w:rFonts w:eastAsiaTheme="minorEastAsia"/>
              </w:rPr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460" w:rsidRPr="002B30ED" w:rsidRDefault="00E34460" w:rsidP="004C2438">
            <w:pPr>
              <w:pStyle w:val="TableText"/>
            </w:pPr>
            <w:r w:rsidRPr="002B30ED">
              <w:t xml:space="preserve">V3: Use evidence informed approaches and the outcomes from research, scholarship and continuing professional development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460" w:rsidRPr="002B30ED" w:rsidRDefault="00E34460" w:rsidP="004C2438">
            <w:pPr>
              <w:pStyle w:val="TableText"/>
            </w:pPr>
          </w:p>
        </w:tc>
      </w:tr>
      <w:tr w:rsidR="00E34460" w:rsidRPr="002B30ED" w:rsidTr="004C2438"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460" w:rsidRPr="002B30ED" w:rsidRDefault="00E34460" w:rsidP="004C2438">
            <w:pPr>
              <w:pStyle w:val="TableText"/>
            </w:pPr>
            <w:r w:rsidRPr="002B30ED">
              <w:t>V 4: Acknowledges the wider context in which higher education operates recognising the implications for professional practice.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460" w:rsidRPr="002B30ED" w:rsidRDefault="00E34460" w:rsidP="004C2438">
            <w:pPr>
              <w:pStyle w:val="TableText"/>
            </w:pPr>
          </w:p>
        </w:tc>
      </w:tr>
    </w:tbl>
    <w:p w:rsidR="00E34460" w:rsidRDefault="00E34460" w:rsidP="00E34460"/>
    <w:tbl>
      <w:tblPr>
        <w:tblpPr w:leftFromText="180" w:rightFromText="180" w:vertAnchor="text" w:horzAnchor="margin" w:tblpX="108" w:tblpY="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E34460" w:rsidRPr="002B30ED" w:rsidTr="004C2438">
        <w:tc>
          <w:tcPr>
            <w:tcW w:w="90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E460B5" w:rsidRDefault="00E34460" w:rsidP="004C2438">
            <w:pPr>
              <w:pStyle w:val="TableText"/>
              <w:rPr>
                <w:b/>
              </w:rPr>
            </w:pPr>
            <w:r w:rsidRPr="00E460B5">
              <w:rPr>
                <w:b/>
              </w:rPr>
              <w:t>Expand</w:t>
            </w:r>
            <w:r>
              <w:rPr>
                <w:b/>
              </w:rPr>
              <w:t>ed summary</w:t>
            </w:r>
          </w:p>
          <w:p w:rsidR="00E34460" w:rsidRPr="002B30ED" w:rsidRDefault="00E34460" w:rsidP="004C2438">
            <w:pPr>
              <w:pStyle w:val="TableText"/>
            </w:pPr>
            <w:r>
              <w:t>For the dimensions you have selected in the table above make some notes for yourself that explain how your PRE activity has been helpful to your professional development.</w:t>
            </w:r>
          </w:p>
        </w:tc>
      </w:tr>
      <w:tr w:rsidR="00E34460" w:rsidRPr="002B30ED" w:rsidTr="00E34460">
        <w:trPr>
          <w:trHeight w:val="2540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4460" w:rsidRPr="002B30ED" w:rsidRDefault="00E34460" w:rsidP="004C2438">
            <w:pPr>
              <w:pStyle w:val="TableText"/>
            </w:pPr>
          </w:p>
        </w:tc>
      </w:tr>
    </w:tbl>
    <w:p w:rsidR="006E4474" w:rsidRDefault="006E4474"/>
    <w:sectPr w:rsidR="006E44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9B" w:rsidRDefault="0026689B" w:rsidP="00E34460">
      <w:pPr>
        <w:spacing w:before="0" w:after="0"/>
      </w:pPr>
      <w:r>
        <w:separator/>
      </w:r>
    </w:p>
  </w:endnote>
  <w:endnote w:type="continuationSeparator" w:id="0">
    <w:p w:rsidR="0026689B" w:rsidRDefault="0026689B" w:rsidP="00E344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9B" w:rsidRDefault="0026689B" w:rsidP="00E34460">
      <w:pPr>
        <w:spacing w:before="0" w:after="0"/>
      </w:pPr>
      <w:r>
        <w:separator/>
      </w:r>
    </w:p>
  </w:footnote>
  <w:footnote w:type="continuationSeparator" w:id="0">
    <w:p w:rsidR="0026689B" w:rsidRDefault="0026689B" w:rsidP="00E344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0" w:rsidRDefault="00E34460">
    <w:pPr>
      <w:pStyle w:val="Header"/>
    </w:pPr>
    <w:r>
      <w:t>Sheffield Hallam University Peer Review &amp; Enhancement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60"/>
    <w:rsid w:val="0026689B"/>
    <w:rsid w:val="006E4474"/>
    <w:rsid w:val="00CB1DCB"/>
    <w:rsid w:val="00E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60"/>
    <w:pPr>
      <w:spacing w:before="240" w:after="240" w:line="240" w:lineRule="auto"/>
    </w:pPr>
    <w:rPr>
      <w:rFonts w:asciiTheme="minorHAnsi" w:eastAsiaTheme="minorHAnsi" w:hAnsiTheme="minorHAnsi"/>
      <w:sz w:val="20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34460"/>
    <w:pPr>
      <w:spacing w:after="200"/>
      <w:outlineLvl w:val="1"/>
    </w:pPr>
    <w:rPr>
      <w:rFonts w:ascii="FS Clerkenwell" w:hAnsi="FS Clerkenwel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60"/>
    <w:rPr>
      <w:rFonts w:ascii="FS Clerkenwell" w:eastAsiaTheme="minorHAnsi" w:hAnsi="FS Clerkenwell"/>
      <w:color w:val="B70D50"/>
      <w:sz w:val="32"/>
      <w:szCs w:val="32"/>
      <w:lang w:eastAsia="en-US"/>
    </w:rPr>
  </w:style>
  <w:style w:type="table" w:styleId="TableGrid">
    <w:name w:val="Table Grid"/>
    <w:basedOn w:val="TableNormal"/>
    <w:rsid w:val="00E3446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qFormat/>
    <w:rsid w:val="00E34460"/>
    <w:pPr>
      <w:keepLines/>
    </w:pPr>
    <w:rPr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E34460"/>
    <w:pPr>
      <w:spacing w:before="60" w:after="60"/>
    </w:pPr>
    <w:rPr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E34460"/>
    <w:rPr>
      <w:rFonts w:asciiTheme="minorHAnsi" w:eastAsiaTheme="minorHAnsi" w:hAnsiTheme="minorHAnsi"/>
      <w:sz w:val="18"/>
      <w:szCs w:val="21"/>
      <w:lang w:eastAsia="en-US"/>
    </w:rPr>
  </w:style>
  <w:style w:type="paragraph" w:customStyle="1" w:styleId="FormText">
    <w:name w:val="Form Text"/>
    <w:basedOn w:val="Normal"/>
    <w:link w:val="FormTextChar"/>
    <w:qFormat/>
    <w:rsid w:val="00E34460"/>
    <w:pPr>
      <w:spacing w:after="0"/>
      <w:contextualSpacing/>
    </w:pPr>
  </w:style>
  <w:style w:type="character" w:customStyle="1" w:styleId="FormTextChar">
    <w:name w:val="Form Text Char"/>
    <w:basedOn w:val="DefaultParagraphFont"/>
    <w:link w:val="FormText"/>
    <w:rsid w:val="00E34460"/>
    <w:rPr>
      <w:rFonts w:asciiTheme="minorHAnsi" w:eastAsiaTheme="minorHAnsi" w:hAnsiTheme="minorHAnsi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44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4460"/>
    <w:rPr>
      <w:rFonts w:asciiTheme="minorHAnsi" w:eastAsiaTheme="minorHAnsi" w:hAnsiTheme="minorHAnsi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44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4460"/>
    <w:rPr>
      <w:rFonts w:asciiTheme="minorHAnsi" w:eastAsiaTheme="minorHAnsi" w:hAnsiTheme="minorHAns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60"/>
    <w:pPr>
      <w:spacing w:before="240" w:after="240" w:line="240" w:lineRule="auto"/>
    </w:pPr>
    <w:rPr>
      <w:rFonts w:asciiTheme="minorHAnsi" w:eastAsiaTheme="minorHAnsi" w:hAnsiTheme="minorHAnsi"/>
      <w:sz w:val="20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34460"/>
    <w:pPr>
      <w:spacing w:after="200"/>
      <w:outlineLvl w:val="1"/>
    </w:pPr>
    <w:rPr>
      <w:rFonts w:ascii="FS Clerkenwell" w:hAnsi="FS Clerkenwell"/>
      <w:color w:val="B70D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460"/>
    <w:rPr>
      <w:rFonts w:ascii="FS Clerkenwell" w:eastAsiaTheme="minorHAnsi" w:hAnsi="FS Clerkenwell"/>
      <w:color w:val="B70D50"/>
      <w:sz w:val="32"/>
      <w:szCs w:val="32"/>
      <w:lang w:eastAsia="en-US"/>
    </w:rPr>
  </w:style>
  <w:style w:type="table" w:styleId="TableGrid">
    <w:name w:val="Table Grid"/>
    <w:basedOn w:val="TableNormal"/>
    <w:rsid w:val="00E3446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Normal"/>
    <w:qFormat/>
    <w:rsid w:val="00E34460"/>
    <w:pPr>
      <w:keepLines/>
    </w:pPr>
    <w:rPr>
      <w:i/>
      <w:sz w:val="16"/>
      <w:szCs w:val="20"/>
    </w:rPr>
  </w:style>
  <w:style w:type="paragraph" w:customStyle="1" w:styleId="TableText">
    <w:name w:val="Table Text"/>
    <w:basedOn w:val="Normal"/>
    <w:link w:val="TableTextChar"/>
    <w:qFormat/>
    <w:rsid w:val="00E34460"/>
    <w:pPr>
      <w:spacing w:before="60" w:after="60"/>
    </w:pPr>
    <w:rPr>
      <w:sz w:val="18"/>
      <w:szCs w:val="21"/>
    </w:rPr>
  </w:style>
  <w:style w:type="character" w:customStyle="1" w:styleId="TableTextChar">
    <w:name w:val="Table Text Char"/>
    <w:basedOn w:val="DefaultParagraphFont"/>
    <w:link w:val="TableText"/>
    <w:rsid w:val="00E34460"/>
    <w:rPr>
      <w:rFonts w:asciiTheme="minorHAnsi" w:eastAsiaTheme="minorHAnsi" w:hAnsiTheme="minorHAnsi"/>
      <w:sz w:val="18"/>
      <w:szCs w:val="21"/>
      <w:lang w:eastAsia="en-US"/>
    </w:rPr>
  </w:style>
  <w:style w:type="paragraph" w:customStyle="1" w:styleId="FormText">
    <w:name w:val="Form Text"/>
    <w:basedOn w:val="Normal"/>
    <w:link w:val="FormTextChar"/>
    <w:qFormat/>
    <w:rsid w:val="00E34460"/>
    <w:pPr>
      <w:spacing w:after="0"/>
      <w:contextualSpacing/>
    </w:pPr>
  </w:style>
  <w:style w:type="character" w:customStyle="1" w:styleId="FormTextChar">
    <w:name w:val="Form Text Char"/>
    <w:basedOn w:val="DefaultParagraphFont"/>
    <w:link w:val="FormText"/>
    <w:rsid w:val="00E34460"/>
    <w:rPr>
      <w:rFonts w:asciiTheme="minorHAnsi" w:eastAsiaTheme="minorHAnsi" w:hAnsiTheme="minorHAnsi"/>
      <w:sz w:val="20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44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4460"/>
    <w:rPr>
      <w:rFonts w:asciiTheme="minorHAnsi" w:eastAsiaTheme="minorHAnsi" w:hAnsiTheme="minorHAnsi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44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4460"/>
    <w:rPr>
      <w:rFonts w:asciiTheme="minorHAnsi" w:eastAsiaTheme="minorHAnsi" w:hAnsiTheme="minorHAns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Middleton</dc:creator>
  <cp:lastModifiedBy>Andrew Middleton</cp:lastModifiedBy>
  <cp:revision>1</cp:revision>
  <dcterms:created xsi:type="dcterms:W3CDTF">2014-10-20T12:53:00Z</dcterms:created>
  <dcterms:modified xsi:type="dcterms:W3CDTF">2014-10-20T12:56:00Z</dcterms:modified>
</cp:coreProperties>
</file>