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26A4981" w:rsidR="003D2B80" w:rsidRDefault="35A2D125">
      <w:r>
        <w:rPr>
          <w:noProof/>
        </w:rPr>
        <w:drawing>
          <wp:inline distT="0" distB="0" distL="0" distR="0" wp14:anchorId="5D7D5EA4" wp14:editId="5490727B">
            <wp:extent cx="1581990" cy="850900"/>
            <wp:effectExtent l="0" t="0" r="0" b="6350"/>
            <wp:docPr id="9171434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43484" name=""/>
                    <pic:cNvPicPr/>
                  </pic:nvPicPr>
                  <pic:blipFill>
                    <a:blip r:embed="rId8">
                      <a:extLst>
                        <a:ext uri="{28A0092B-C50C-407E-A947-70E740481C1C}">
                          <a14:useLocalDpi xmlns:a14="http://schemas.microsoft.com/office/drawing/2010/main"/>
                        </a:ext>
                      </a:extLst>
                    </a:blip>
                    <a:stretch>
                      <a:fillRect/>
                    </a:stretch>
                  </pic:blipFill>
                  <pic:spPr>
                    <a:xfrm>
                      <a:off x="0" y="0"/>
                      <a:ext cx="1590640" cy="855553"/>
                    </a:xfrm>
                    <a:prstGeom prst="rect">
                      <a:avLst/>
                    </a:prstGeom>
                  </pic:spPr>
                </pic:pic>
              </a:graphicData>
            </a:graphic>
          </wp:inline>
        </w:drawing>
      </w:r>
    </w:p>
    <w:p w14:paraId="182083B7" w14:textId="6AFFC93B" w:rsidR="00BF1816" w:rsidRDefault="00C51FE2">
      <w:pPr>
        <w:rPr>
          <w:rFonts w:cs="PT Sans"/>
          <w:b/>
          <w:sz w:val="32"/>
          <w:szCs w:val="32"/>
        </w:rPr>
      </w:pPr>
      <w:r w:rsidRPr="0050181F">
        <w:rPr>
          <w:rFonts w:cs="PT Sans"/>
          <w:b/>
          <w:sz w:val="32"/>
          <w:szCs w:val="32"/>
        </w:rPr>
        <w:t>P</w:t>
      </w:r>
      <w:r w:rsidR="00CA722C" w:rsidRPr="0050181F">
        <w:rPr>
          <w:rFonts w:cs="PT Sans"/>
          <w:b/>
          <w:sz w:val="32"/>
          <w:szCs w:val="32"/>
        </w:rPr>
        <w:t>olicy</w:t>
      </w:r>
      <w:r w:rsidRPr="0050181F">
        <w:rPr>
          <w:rFonts w:cs="PT Sans"/>
          <w:b/>
          <w:sz w:val="32"/>
          <w:szCs w:val="32"/>
        </w:rPr>
        <w:t xml:space="preserve"> </w:t>
      </w:r>
      <w:r w:rsidR="00CA722C" w:rsidRPr="0050181F">
        <w:rPr>
          <w:rFonts w:cs="PT Sans"/>
          <w:b/>
          <w:sz w:val="32"/>
          <w:szCs w:val="32"/>
        </w:rPr>
        <w:t xml:space="preserve">for the verification of assessment and </w:t>
      </w:r>
      <w:r w:rsidR="00ED27C8" w:rsidRPr="0050181F">
        <w:rPr>
          <w:rFonts w:cs="PT Sans"/>
          <w:b/>
          <w:sz w:val="32"/>
          <w:szCs w:val="32"/>
        </w:rPr>
        <w:t xml:space="preserve">standardisation and moderation of marking </w:t>
      </w:r>
    </w:p>
    <w:p w14:paraId="79243AAC" w14:textId="2DC312C9" w:rsidR="00F01697" w:rsidRPr="00C05EB1" w:rsidRDefault="00AA174D" w:rsidP="00F01697">
      <w:pPr>
        <w:spacing w:after="240"/>
        <w:rPr>
          <w:rFonts w:cs="PT Sans"/>
          <w:bCs/>
        </w:rPr>
      </w:pPr>
      <w:r w:rsidRPr="00C05EB1">
        <w:rPr>
          <w:rFonts w:cs="PT Sans"/>
          <w:bCs/>
        </w:rPr>
        <w:t>Changes</w:t>
      </w:r>
      <w:r w:rsidR="00F01697" w:rsidRPr="00C05EB1">
        <w:rPr>
          <w:rFonts w:cs="PT Sans"/>
          <w:bCs/>
        </w:rPr>
        <w:t xml:space="preserve"> in sector regulation allow universities to look again at their current processes and there is sector encouragement to assure ourselves that the processes we use are ‘risk based’ and proportionate. </w:t>
      </w:r>
      <w:r w:rsidR="0034173B">
        <w:rPr>
          <w:rFonts w:cs="PT Sans"/>
          <w:bCs/>
        </w:rPr>
        <w:t xml:space="preserve">This policy will be implemented from September 2025. </w:t>
      </w:r>
    </w:p>
    <w:p w14:paraId="7DEBE246" w14:textId="77777777" w:rsidR="00F01697" w:rsidRPr="00C05EB1" w:rsidRDefault="00F01697" w:rsidP="00F01697">
      <w:pPr>
        <w:spacing w:after="240"/>
        <w:rPr>
          <w:rFonts w:cs="PT Sans"/>
          <w:i/>
          <w:iCs/>
        </w:rPr>
      </w:pPr>
      <w:r w:rsidRPr="008606CA">
        <w:rPr>
          <w:rFonts w:cs="PT Sans"/>
          <w:b/>
          <w:bCs/>
        </w:rPr>
        <w:t>Assessment Verification</w:t>
      </w:r>
      <w:r w:rsidRPr="00C05EB1">
        <w:br/>
      </w:r>
      <w:r w:rsidRPr="00C05EB1">
        <w:rPr>
          <w:rFonts w:cs="PT Sans"/>
        </w:rPr>
        <w:t xml:space="preserve">Only wholly new assessment methods require internal verification. There will not be external examiners to provide external verification however the design and modification of assessments will be a topic for ‘deep dives’ by School/Institute External Advisors. </w:t>
      </w:r>
    </w:p>
    <w:p w14:paraId="5D549921" w14:textId="77777777" w:rsidR="00F01697" w:rsidRPr="00C05EB1" w:rsidRDefault="00F01697" w:rsidP="00F01697">
      <w:pPr>
        <w:spacing w:after="240"/>
        <w:rPr>
          <w:rFonts w:cs="PT Sans"/>
          <w:i/>
          <w:iCs/>
        </w:rPr>
      </w:pPr>
      <w:r w:rsidRPr="00C05EB1">
        <w:rPr>
          <w:rFonts w:cs="PT Sans"/>
        </w:rPr>
        <w:t>Colleagues are also encouraged to reflect on and refine their assessment practices and instruments as part of the Peer Review and Enhancement (PRE) process. PRE plays a vital role in fostering a culture of continuous professional development, peer collaboration, and recognition of teaching excellence at Sheffield Hallam University.</w:t>
      </w:r>
    </w:p>
    <w:p w14:paraId="11837104" w14:textId="60A4A167" w:rsidR="00F01697" w:rsidRPr="00C05EB1" w:rsidRDefault="00F01697" w:rsidP="00F01697">
      <w:pPr>
        <w:spacing w:after="240"/>
        <w:rPr>
          <w:rFonts w:cs="PT Sans"/>
          <w:bCs/>
          <w:i/>
          <w:iCs/>
        </w:rPr>
      </w:pPr>
      <w:r w:rsidRPr="008606CA">
        <w:rPr>
          <w:rFonts w:cs="PT Sans"/>
          <w:b/>
        </w:rPr>
        <w:t>Standardisation and Internal Moderation</w:t>
      </w:r>
      <w:r w:rsidRPr="00C05EB1">
        <w:rPr>
          <w:rFonts w:cs="PT Sans"/>
          <w:bCs/>
          <w:i/>
          <w:iCs/>
        </w:rPr>
        <w:br/>
      </w:r>
      <w:r w:rsidRPr="00C05EB1">
        <w:rPr>
          <w:rFonts w:cs="PT Sans"/>
          <w:bCs/>
        </w:rPr>
        <w:t xml:space="preserve">Course teams may opt out of </w:t>
      </w:r>
      <w:r w:rsidR="006C3984">
        <w:rPr>
          <w:rFonts w:cs="PT Sans"/>
          <w:bCs/>
        </w:rPr>
        <w:t>S</w:t>
      </w:r>
      <w:r w:rsidRPr="00C05EB1">
        <w:rPr>
          <w:rFonts w:cs="PT Sans"/>
          <w:bCs/>
        </w:rPr>
        <w:t xml:space="preserve">tandardisation and </w:t>
      </w:r>
      <w:r w:rsidR="006C3984">
        <w:rPr>
          <w:rFonts w:cs="PT Sans"/>
          <w:bCs/>
        </w:rPr>
        <w:t>I</w:t>
      </w:r>
      <w:r w:rsidRPr="00C05EB1">
        <w:rPr>
          <w:rFonts w:cs="PT Sans"/>
          <w:bCs/>
        </w:rPr>
        <w:t xml:space="preserve">nternal </w:t>
      </w:r>
      <w:r w:rsidR="006C3984">
        <w:rPr>
          <w:rFonts w:cs="PT Sans"/>
          <w:bCs/>
        </w:rPr>
        <w:t>M</w:t>
      </w:r>
      <w:r w:rsidRPr="00C05EB1">
        <w:rPr>
          <w:rFonts w:cs="PT Sans"/>
          <w:bCs/>
        </w:rPr>
        <w:t xml:space="preserve">oderation where they can evidence that the constituent modules are operating as intended and without cause for concern. </w:t>
      </w:r>
      <w:r w:rsidR="000C5B59" w:rsidRPr="000C5B59">
        <w:rPr>
          <w:rFonts w:cs="PT Sans"/>
          <w:bCs/>
        </w:rPr>
        <w:t>This needs the explicit agreement of the School/Institute and</w:t>
      </w:r>
      <w:r w:rsidR="000C5B59">
        <w:rPr>
          <w:rFonts w:cs="PT Sans"/>
          <w:bCs/>
        </w:rPr>
        <w:t xml:space="preserve"> </w:t>
      </w:r>
      <w:r w:rsidR="000C5B59" w:rsidRPr="000C5B59">
        <w:rPr>
          <w:rFonts w:cs="PT Sans"/>
          <w:bCs/>
        </w:rPr>
        <w:t>Schools/Institutes may wish to make this decision across all of their provision rather than requests by specific course teams.</w:t>
      </w:r>
      <w:r w:rsidR="000C5B59">
        <w:rPr>
          <w:rFonts w:cs="PT Sans"/>
          <w:bCs/>
        </w:rPr>
        <w:t xml:space="preserve"> </w:t>
      </w:r>
      <w:r w:rsidR="000C5B59" w:rsidRPr="000C5B59">
        <w:rPr>
          <w:rFonts w:cs="PT Sans"/>
          <w:bCs/>
        </w:rPr>
        <w:t>‘Operating as intended and without cause for concern’ would be evidenced by year-on-year module performance stats and student feedback</w:t>
      </w:r>
      <w:r w:rsidR="000C5B59">
        <w:rPr>
          <w:rFonts w:cs="PT Sans"/>
          <w:bCs/>
        </w:rPr>
        <w:t>.</w:t>
      </w:r>
      <w:r w:rsidRPr="00C05EB1">
        <w:rPr>
          <w:rFonts w:cs="PT Sans"/>
          <w:bCs/>
        </w:rPr>
        <w:t xml:space="preserve"> </w:t>
      </w:r>
    </w:p>
    <w:p w14:paraId="7A935AC0" w14:textId="1417A223" w:rsidR="00F01697" w:rsidRPr="00C05EB1" w:rsidRDefault="00F01697" w:rsidP="00F01697">
      <w:pPr>
        <w:spacing w:after="240"/>
        <w:rPr>
          <w:rFonts w:cs="PT Sans"/>
          <w:bCs/>
        </w:rPr>
      </w:pPr>
      <w:r w:rsidRPr="00C05EB1">
        <w:rPr>
          <w:rFonts w:cs="PT Sans"/>
          <w:bCs/>
        </w:rPr>
        <w:t>This should be seen as a risk-based approach to streamlining assessment processes and easing the burden on academic staff at key ‘pinch points’. However, where course teams can provide a significant rationale for maintaining current practice this will be considered by the relevant Associate Head or Associate Deans Learning, Teaching &amp; Student Success</w:t>
      </w:r>
      <w:r w:rsidR="0061619D">
        <w:rPr>
          <w:rFonts w:cs="PT Sans"/>
          <w:bCs/>
        </w:rPr>
        <w:t xml:space="preserve"> (LTSS)</w:t>
      </w:r>
      <w:r w:rsidRPr="00C05EB1">
        <w:rPr>
          <w:rFonts w:cs="PT Sans"/>
          <w:bCs/>
        </w:rPr>
        <w:t xml:space="preserve">. </w:t>
      </w:r>
    </w:p>
    <w:p w14:paraId="020D6FB7" w14:textId="77777777" w:rsidR="00F01697" w:rsidRPr="00C05EB1" w:rsidRDefault="00F01697" w:rsidP="00F01697">
      <w:pPr>
        <w:spacing w:after="240"/>
        <w:rPr>
          <w:rFonts w:cs="PT Sans"/>
          <w:bCs/>
        </w:rPr>
      </w:pPr>
      <w:r w:rsidRPr="00C05EB1">
        <w:rPr>
          <w:rFonts w:cs="PT Sans"/>
          <w:bCs/>
        </w:rPr>
        <w:t>An exception would be where a module is substantively or wholly new, where there should be moderation by sample in the first year of operation.</w:t>
      </w:r>
    </w:p>
    <w:p w14:paraId="58836B9D" w14:textId="77777777" w:rsidR="00F01697" w:rsidRPr="00C05EB1" w:rsidRDefault="00F01697" w:rsidP="00F01697">
      <w:pPr>
        <w:spacing w:after="240"/>
        <w:rPr>
          <w:rFonts w:cs="PT Sans"/>
          <w:bCs/>
        </w:rPr>
      </w:pPr>
      <w:r w:rsidRPr="00C05EB1">
        <w:rPr>
          <w:rFonts w:cs="PT Sans"/>
          <w:bCs/>
        </w:rPr>
        <w:t xml:space="preserve">Where a module result seems out of line with the performance of the cohort across that course-level or where a module is out of line with its historical performance then </w:t>
      </w:r>
      <w:r w:rsidRPr="00C05EB1">
        <w:rPr>
          <w:rFonts w:cs="PT Sans"/>
          <w:bCs/>
        </w:rPr>
        <w:lastRenderedPageBreak/>
        <w:t>moderation should be undertaken to determine if there are underlying issues and whether scaling needs to be applied.</w:t>
      </w:r>
    </w:p>
    <w:p w14:paraId="44C43F5A" w14:textId="19F3EB05" w:rsidR="00F01697" w:rsidRPr="00C05EB1" w:rsidRDefault="00F01697" w:rsidP="00F01697">
      <w:pPr>
        <w:spacing w:after="240"/>
        <w:rPr>
          <w:rFonts w:cs="PT Sans"/>
          <w:bCs/>
        </w:rPr>
      </w:pPr>
      <w:r w:rsidRPr="00C05EB1">
        <w:rPr>
          <w:rFonts w:cs="PT Sans"/>
          <w:bCs/>
        </w:rPr>
        <w:t>Both at College and University level module performance will be monitored and if aberrant trends are observed a ‘deep dive’ will be undertaken to investigate; and this will include either College External Advisor and/or School/Institute External Advisor and an outcome of this will be for an explicit return to full Standardisation and Internal Moderation. In this regard we are adopting the same approach as O</w:t>
      </w:r>
      <w:r w:rsidR="00226461">
        <w:rPr>
          <w:rFonts w:cs="PT Sans"/>
          <w:bCs/>
        </w:rPr>
        <w:t xml:space="preserve">ffice for </w:t>
      </w:r>
      <w:r w:rsidRPr="00C05EB1">
        <w:rPr>
          <w:rFonts w:cs="PT Sans"/>
          <w:bCs/>
        </w:rPr>
        <w:t>S</w:t>
      </w:r>
      <w:r w:rsidR="00226461">
        <w:rPr>
          <w:rFonts w:cs="PT Sans"/>
          <w:bCs/>
        </w:rPr>
        <w:t>tudents (OfS)</w:t>
      </w:r>
      <w:r w:rsidRPr="00C05EB1">
        <w:rPr>
          <w:rFonts w:cs="PT Sans"/>
          <w:bCs/>
        </w:rPr>
        <w:t xml:space="preserve"> (quantitative analysis).</w:t>
      </w:r>
    </w:p>
    <w:p w14:paraId="5BF656D9" w14:textId="307433FB" w:rsidR="00134C68" w:rsidRPr="00134C68" w:rsidRDefault="00134C68" w:rsidP="00134C68">
      <w:pPr>
        <w:spacing w:after="240"/>
        <w:rPr>
          <w:rFonts w:cs="PT Sans"/>
        </w:rPr>
      </w:pPr>
      <w:r w:rsidRPr="00134C68">
        <w:rPr>
          <w:rFonts w:cs="PT Sans"/>
        </w:rPr>
        <w:t>Students can also request that Standardisation and Internal Moderation takes place, not for individual student marks but where the whole cohort can evidence that there are issues with the marks. The S</w:t>
      </w:r>
      <w:r w:rsidR="0061619D">
        <w:rPr>
          <w:rFonts w:cs="PT Sans"/>
        </w:rPr>
        <w:t xml:space="preserve">tudent </w:t>
      </w:r>
      <w:r w:rsidRPr="00134C68">
        <w:rPr>
          <w:rFonts w:cs="PT Sans"/>
        </w:rPr>
        <w:t>U</w:t>
      </w:r>
      <w:r w:rsidR="0061619D">
        <w:rPr>
          <w:rFonts w:cs="PT Sans"/>
        </w:rPr>
        <w:t>nion (SU)</w:t>
      </w:r>
      <w:r w:rsidRPr="00134C68">
        <w:rPr>
          <w:rFonts w:cs="PT Sans"/>
        </w:rPr>
        <w:t xml:space="preserve"> Course Rep would need to convince the College SU rep and then they would need to have sufficient evidence for the Hallam’s Director of Registry Services, Director of A</w:t>
      </w:r>
      <w:r w:rsidR="005E48A2">
        <w:rPr>
          <w:rFonts w:cs="PT Sans"/>
        </w:rPr>
        <w:t>ca</w:t>
      </w:r>
      <w:r w:rsidR="00DB0711">
        <w:rPr>
          <w:rFonts w:cs="PT Sans"/>
        </w:rPr>
        <w:t>demic Quality &amp; Standards (A</w:t>
      </w:r>
      <w:r w:rsidRPr="00134C68">
        <w:rPr>
          <w:rFonts w:cs="PT Sans"/>
        </w:rPr>
        <w:t>QS</w:t>
      </w:r>
      <w:r w:rsidR="00DB0711">
        <w:rPr>
          <w:rFonts w:cs="PT Sans"/>
        </w:rPr>
        <w:t>)</w:t>
      </w:r>
      <w:r w:rsidRPr="00134C68">
        <w:rPr>
          <w:rFonts w:cs="PT Sans"/>
        </w:rPr>
        <w:t xml:space="preserve"> and the relevant Associate Deans</w:t>
      </w:r>
      <w:r w:rsidR="0061619D">
        <w:rPr>
          <w:rFonts w:cs="PT Sans"/>
        </w:rPr>
        <w:t xml:space="preserve"> LTSS,</w:t>
      </w:r>
      <w:r w:rsidRPr="00134C68">
        <w:rPr>
          <w:rFonts w:cs="PT Sans"/>
        </w:rPr>
        <w:t xml:space="preserve"> before this was agreed. This is an additional route for student concerns and in no way removes or undermines all existing mechanisms; this is purely additional and is about the views of whole cohort.</w:t>
      </w:r>
    </w:p>
    <w:p w14:paraId="3EB8A6D0" w14:textId="1CF6A0B1" w:rsidR="00F01697" w:rsidRPr="00C05EB1" w:rsidRDefault="00F01697" w:rsidP="00134C68">
      <w:pPr>
        <w:spacing w:after="240"/>
        <w:rPr>
          <w:rFonts w:cs="PT Sans"/>
        </w:rPr>
      </w:pPr>
      <w:r w:rsidRPr="00C05EB1">
        <w:rPr>
          <w:rFonts w:eastAsia="Calibri" w:cs="PT Sans"/>
          <w:color w:val="000000" w:themeColor="text1"/>
        </w:rPr>
        <w:t>It is envisaged that the default position with regards to internal moderation is that courses will be "opted out", unless one of the explicit conditions where moderation must take place, such as the introduction of a new assessment method, occurs. Course teams wishing to retain internal moderation outside of the conditions specified in this paper can only do so with a strong rationale agreed by the Head of School / Institute and relevant Associate Dean.</w:t>
      </w:r>
    </w:p>
    <w:p w14:paraId="4CE445FD" w14:textId="216A79DB" w:rsidR="00F01697" w:rsidRPr="00C05EB1" w:rsidRDefault="00F01697" w:rsidP="00F01697">
      <w:pPr>
        <w:spacing w:after="240"/>
        <w:rPr>
          <w:rFonts w:cs="PT Sans"/>
          <w:bCs/>
        </w:rPr>
      </w:pPr>
      <w:r w:rsidRPr="008606CA">
        <w:rPr>
          <w:rFonts w:cs="PT Sans"/>
          <w:b/>
        </w:rPr>
        <w:t>External Moderation</w:t>
      </w:r>
      <w:r w:rsidRPr="00C05EB1">
        <w:rPr>
          <w:rFonts w:cs="PT Sans"/>
          <w:bCs/>
          <w:i/>
          <w:iCs/>
        </w:rPr>
        <w:br/>
      </w:r>
      <w:r w:rsidRPr="00C05EB1">
        <w:rPr>
          <w:rFonts w:cs="PT Sans"/>
          <w:bCs/>
        </w:rPr>
        <w:t>External moderation will largely be removed as the relevant course/module examiner is removed. Exceptions to this are External Advisors reviewing Higher Degree Apprenticeship end point assessments and all courses where P</w:t>
      </w:r>
      <w:r w:rsidR="004B4070">
        <w:rPr>
          <w:rFonts w:cs="PT Sans"/>
          <w:bCs/>
        </w:rPr>
        <w:t>rofessional</w:t>
      </w:r>
      <w:r w:rsidR="00684AB9">
        <w:rPr>
          <w:rFonts w:cs="PT Sans"/>
          <w:bCs/>
        </w:rPr>
        <w:t>,</w:t>
      </w:r>
      <w:r w:rsidR="004B4070">
        <w:rPr>
          <w:rFonts w:cs="PT Sans"/>
          <w:bCs/>
        </w:rPr>
        <w:t xml:space="preserve"> </w:t>
      </w:r>
      <w:r w:rsidR="004B4070" w:rsidRPr="00C05EB1">
        <w:rPr>
          <w:rFonts w:cs="PT Sans"/>
          <w:bCs/>
        </w:rPr>
        <w:t>S</w:t>
      </w:r>
      <w:r w:rsidR="004B4070">
        <w:rPr>
          <w:rFonts w:cs="PT Sans"/>
          <w:bCs/>
        </w:rPr>
        <w:t xml:space="preserve">tatutory </w:t>
      </w:r>
      <w:r w:rsidRPr="00C05EB1">
        <w:rPr>
          <w:rFonts w:cs="PT Sans"/>
          <w:bCs/>
        </w:rPr>
        <w:t>R</w:t>
      </w:r>
      <w:r w:rsidR="004B4070">
        <w:rPr>
          <w:rFonts w:cs="PT Sans"/>
          <w:bCs/>
        </w:rPr>
        <w:t xml:space="preserve">egulatory </w:t>
      </w:r>
      <w:r w:rsidRPr="00C05EB1">
        <w:rPr>
          <w:rFonts w:cs="PT Sans"/>
          <w:bCs/>
        </w:rPr>
        <w:t>B</w:t>
      </w:r>
      <w:r w:rsidR="004B4070">
        <w:rPr>
          <w:rFonts w:cs="PT Sans"/>
          <w:bCs/>
        </w:rPr>
        <w:t>od</w:t>
      </w:r>
      <w:r w:rsidR="00B73D6E">
        <w:rPr>
          <w:rFonts w:cs="PT Sans"/>
          <w:bCs/>
        </w:rPr>
        <w:t>y</w:t>
      </w:r>
      <w:r w:rsidR="004B4070">
        <w:rPr>
          <w:rFonts w:cs="PT Sans"/>
          <w:bCs/>
        </w:rPr>
        <w:t xml:space="preserve"> </w:t>
      </w:r>
      <w:r w:rsidR="00684AB9">
        <w:rPr>
          <w:rFonts w:cs="PT Sans"/>
          <w:bCs/>
        </w:rPr>
        <w:t>(PSRB</w:t>
      </w:r>
      <w:r w:rsidR="00E7290F">
        <w:rPr>
          <w:rFonts w:cs="PT Sans"/>
          <w:bCs/>
        </w:rPr>
        <w:t>)</w:t>
      </w:r>
      <w:r w:rsidRPr="00C05EB1">
        <w:rPr>
          <w:rFonts w:cs="PT Sans"/>
          <w:bCs/>
        </w:rPr>
        <w:t xml:space="preserve"> requirements dictate the continuance of External Examiners and also the continuance of external moderation.</w:t>
      </w:r>
    </w:p>
    <w:p w14:paraId="6C5DDF3D" w14:textId="2B876957" w:rsidR="00F01697" w:rsidRDefault="00F01697" w:rsidP="00F01697">
      <w:pPr>
        <w:spacing w:after="240"/>
        <w:rPr>
          <w:rFonts w:cs="PT Sans"/>
          <w:bCs/>
        </w:rPr>
      </w:pPr>
      <w:r w:rsidRPr="008606CA">
        <w:rPr>
          <w:rFonts w:cs="PT Sans"/>
          <w:b/>
        </w:rPr>
        <w:t>Moderation of assessed work at Collaborative Partners</w:t>
      </w:r>
      <w:r w:rsidRPr="00C05EB1">
        <w:rPr>
          <w:rFonts w:cs="PT Sans"/>
          <w:bCs/>
          <w:i/>
          <w:iCs/>
        </w:rPr>
        <w:br/>
      </w:r>
      <w:r w:rsidRPr="00C05EB1">
        <w:rPr>
          <w:rFonts w:cs="PT Sans"/>
          <w:bCs/>
        </w:rPr>
        <w:t>This needs to continue and needs to be applied more consistently than current practice. Moderation will be based a higher level in the first three years of a course delivered by a partner falling back to ‘business as usual’ steady state. The previous moderation policy defined this in the following table</w:t>
      </w:r>
      <w:r w:rsidR="005B2400">
        <w:rPr>
          <w:rFonts w:cs="PT Sans"/>
          <w:bCs/>
        </w:rPr>
        <w:t>:</w:t>
      </w:r>
    </w:p>
    <w:p w14:paraId="54CD9D9F" w14:textId="77777777" w:rsidR="005B2400" w:rsidRDefault="005B2400" w:rsidP="00F01697">
      <w:pPr>
        <w:spacing w:after="240"/>
        <w:rPr>
          <w:rFonts w:cs="PT Sans"/>
          <w:bCs/>
        </w:rPr>
      </w:pPr>
    </w:p>
    <w:p w14:paraId="7004F207" w14:textId="77777777" w:rsidR="005B2400" w:rsidRDefault="005B2400" w:rsidP="00F01697">
      <w:pPr>
        <w:spacing w:after="240"/>
        <w:rPr>
          <w:rFonts w:cs="PT Sans"/>
          <w:bCs/>
        </w:rPr>
      </w:pPr>
    </w:p>
    <w:p w14:paraId="2A0B7801" w14:textId="77777777" w:rsidR="005B2400" w:rsidRPr="00C05EB1" w:rsidRDefault="005B2400" w:rsidP="00F01697">
      <w:pPr>
        <w:spacing w:after="240"/>
        <w:rPr>
          <w:rFonts w:cs="PT Sans"/>
          <w:bCs/>
        </w:rPr>
      </w:pPr>
    </w:p>
    <w:tbl>
      <w:tblPr>
        <w:tblStyle w:val="TableGrid"/>
        <w:tblW w:w="0" w:type="auto"/>
        <w:tblLook w:val="04A0" w:firstRow="1" w:lastRow="0" w:firstColumn="1" w:lastColumn="0" w:noHBand="0" w:noVBand="1"/>
      </w:tblPr>
      <w:tblGrid>
        <w:gridCol w:w="9016"/>
      </w:tblGrid>
      <w:tr w:rsidR="00F01697" w:rsidRPr="00C05EB1" w14:paraId="787AAFE2" w14:textId="77777777" w:rsidTr="00FF227F">
        <w:tc>
          <w:tcPr>
            <w:tcW w:w="9576" w:type="dxa"/>
          </w:tcPr>
          <w:tbl>
            <w:tblPr>
              <w:tblW w:w="0" w:type="auto"/>
              <w:tblCellMar>
                <w:top w:w="15" w:type="dxa"/>
                <w:left w:w="15" w:type="dxa"/>
                <w:bottom w:w="15" w:type="dxa"/>
                <w:right w:w="15" w:type="dxa"/>
              </w:tblCellMar>
              <w:tblLook w:val="04A0" w:firstRow="1" w:lastRow="0" w:firstColumn="1" w:lastColumn="0" w:noHBand="0" w:noVBand="1"/>
            </w:tblPr>
            <w:tblGrid>
              <w:gridCol w:w="1095"/>
              <w:gridCol w:w="1283"/>
              <w:gridCol w:w="1395"/>
              <w:gridCol w:w="1530"/>
              <w:gridCol w:w="3497"/>
            </w:tblGrid>
            <w:tr w:rsidR="00F01697" w:rsidRPr="00C05EB1" w14:paraId="3EC06724" w14:textId="77777777" w:rsidTr="00FF227F">
              <w:tc>
                <w:tcPr>
                  <w:tcW w:w="0" w:type="auto"/>
                  <w:vAlign w:val="center"/>
                  <w:hideMark/>
                </w:tcPr>
                <w:p w14:paraId="684A0950" w14:textId="77777777" w:rsidR="00F01697" w:rsidRPr="00C05EB1" w:rsidRDefault="00F01697" w:rsidP="00FF227F">
                  <w:pPr>
                    <w:spacing w:after="240"/>
                    <w:rPr>
                      <w:rFonts w:cs="PT Sans"/>
                      <w:b/>
                    </w:rPr>
                  </w:pPr>
                  <w:r w:rsidRPr="00C05EB1">
                    <w:rPr>
                      <w:rFonts w:cs="PT Sans"/>
                      <w:b/>
                    </w:rPr>
                    <w:t>Module cohort size</w:t>
                  </w:r>
                </w:p>
              </w:tc>
              <w:tc>
                <w:tcPr>
                  <w:tcW w:w="0" w:type="auto"/>
                  <w:vAlign w:val="center"/>
                  <w:hideMark/>
                </w:tcPr>
                <w:p w14:paraId="7B544077" w14:textId="77777777" w:rsidR="00F01697" w:rsidRPr="00C05EB1" w:rsidRDefault="00F01697" w:rsidP="00FF227F">
                  <w:pPr>
                    <w:spacing w:after="240"/>
                    <w:rPr>
                      <w:rFonts w:cs="PT Sans"/>
                      <w:b/>
                    </w:rPr>
                  </w:pPr>
                  <w:r w:rsidRPr="00C05EB1">
                    <w:rPr>
                      <w:rFonts w:cs="PT Sans"/>
                      <w:b/>
                    </w:rPr>
                    <w:t>Year 1 of operation</w:t>
                  </w:r>
                </w:p>
              </w:tc>
              <w:tc>
                <w:tcPr>
                  <w:tcW w:w="0" w:type="auto"/>
                  <w:vAlign w:val="center"/>
                  <w:hideMark/>
                </w:tcPr>
                <w:p w14:paraId="6A39FF7A" w14:textId="77777777" w:rsidR="00F01697" w:rsidRPr="00C05EB1" w:rsidRDefault="00F01697" w:rsidP="00FF227F">
                  <w:pPr>
                    <w:spacing w:after="240"/>
                    <w:rPr>
                      <w:rFonts w:cs="PT Sans"/>
                      <w:b/>
                    </w:rPr>
                  </w:pPr>
                  <w:r w:rsidRPr="00C05EB1">
                    <w:rPr>
                      <w:rFonts w:cs="PT Sans"/>
                      <w:b/>
                    </w:rPr>
                    <w:t>Years 2 to 3 of operation</w:t>
                  </w:r>
                </w:p>
              </w:tc>
              <w:tc>
                <w:tcPr>
                  <w:tcW w:w="0" w:type="auto"/>
                  <w:vAlign w:val="center"/>
                  <w:hideMark/>
                </w:tcPr>
                <w:p w14:paraId="4E0ADB0A" w14:textId="77777777" w:rsidR="00F01697" w:rsidRPr="00C05EB1" w:rsidRDefault="00F01697" w:rsidP="00FF227F">
                  <w:pPr>
                    <w:spacing w:after="240"/>
                    <w:rPr>
                      <w:rFonts w:cs="PT Sans"/>
                      <w:b/>
                    </w:rPr>
                  </w:pPr>
                  <w:r w:rsidRPr="00C05EB1">
                    <w:rPr>
                      <w:rFonts w:cs="PT Sans"/>
                      <w:b/>
                    </w:rPr>
                    <w:t>Year 4/ Steady State operation</w:t>
                  </w:r>
                </w:p>
              </w:tc>
              <w:tc>
                <w:tcPr>
                  <w:tcW w:w="0" w:type="auto"/>
                  <w:vAlign w:val="center"/>
                  <w:hideMark/>
                </w:tcPr>
                <w:p w14:paraId="1181E1CE" w14:textId="77777777" w:rsidR="00F01697" w:rsidRPr="00C05EB1" w:rsidRDefault="00F01697" w:rsidP="00FF227F">
                  <w:pPr>
                    <w:spacing w:after="240"/>
                    <w:rPr>
                      <w:rFonts w:cs="PT Sans"/>
                      <w:b/>
                    </w:rPr>
                  </w:pPr>
                  <w:r w:rsidRPr="00C05EB1">
                    <w:rPr>
                      <w:rFonts w:cs="PT Sans"/>
                      <w:b/>
                    </w:rPr>
                    <w:t>Notes</w:t>
                  </w:r>
                </w:p>
              </w:tc>
            </w:tr>
            <w:tr w:rsidR="00F01697" w:rsidRPr="00C05EB1" w14:paraId="68AEC860" w14:textId="77777777" w:rsidTr="00FF227F">
              <w:tc>
                <w:tcPr>
                  <w:tcW w:w="0" w:type="auto"/>
                  <w:vAlign w:val="center"/>
                  <w:hideMark/>
                </w:tcPr>
                <w:p w14:paraId="7641989B" w14:textId="77777777" w:rsidR="00F01697" w:rsidRPr="00C05EB1" w:rsidRDefault="00F01697" w:rsidP="00FF227F">
                  <w:pPr>
                    <w:spacing w:after="240"/>
                    <w:rPr>
                      <w:rFonts w:cs="PT Sans"/>
                      <w:bCs/>
                    </w:rPr>
                  </w:pPr>
                  <w:r w:rsidRPr="00C05EB1">
                    <w:rPr>
                      <w:rFonts w:cs="PT Sans"/>
                      <w:bCs/>
                    </w:rPr>
                    <w:t>1 to 20</w:t>
                  </w:r>
                </w:p>
              </w:tc>
              <w:tc>
                <w:tcPr>
                  <w:tcW w:w="0" w:type="auto"/>
                  <w:vAlign w:val="center"/>
                  <w:hideMark/>
                </w:tcPr>
                <w:p w14:paraId="4D886BEB" w14:textId="77777777" w:rsidR="00F01697" w:rsidRPr="00C05EB1" w:rsidRDefault="00F01697" w:rsidP="00FF227F">
                  <w:pPr>
                    <w:spacing w:after="240"/>
                    <w:rPr>
                      <w:rFonts w:cs="PT Sans"/>
                      <w:bCs/>
                    </w:rPr>
                  </w:pPr>
                  <w:r w:rsidRPr="00C05EB1">
                    <w:rPr>
                      <w:rFonts w:cs="PT Sans"/>
                      <w:bCs/>
                    </w:rPr>
                    <w:t>100%</w:t>
                  </w:r>
                </w:p>
              </w:tc>
              <w:tc>
                <w:tcPr>
                  <w:tcW w:w="0" w:type="auto"/>
                  <w:vAlign w:val="center"/>
                  <w:hideMark/>
                </w:tcPr>
                <w:p w14:paraId="05A0E8B9" w14:textId="77777777" w:rsidR="00F01697" w:rsidRPr="00C05EB1" w:rsidRDefault="00F01697" w:rsidP="00FF227F">
                  <w:pPr>
                    <w:spacing w:after="240"/>
                    <w:rPr>
                      <w:rFonts w:cs="PT Sans"/>
                      <w:bCs/>
                    </w:rPr>
                  </w:pPr>
                  <w:r w:rsidRPr="00C05EB1">
                    <w:rPr>
                      <w:rFonts w:cs="PT Sans"/>
                      <w:bCs/>
                    </w:rPr>
                    <w:t>50%</w:t>
                  </w:r>
                </w:p>
              </w:tc>
              <w:tc>
                <w:tcPr>
                  <w:tcW w:w="0" w:type="auto"/>
                  <w:vAlign w:val="center"/>
                  <w:hideMark/>
                </w:tcPr>
                <w:p w14:paraId="090CA63A" w14:textId="77777777" w:rsidR="00F01697" w:rsidRPr="00C05EB1" w:rsidRDefault="00F01697" w:rsidP="00FF227F">
                  <w:pPr>
                    <w:spacing w:after="240"/>
                    <w:rPr>
                      <w:rFonts w:cs="PT Sans"/>
                      <w:bCs/>
                    </w:rPr>
                  </w:pPr>
                  <w:r w:rsidRPr="00C05EB1">
                    <w:rPr>
                      <w:rFonts w:cs="PT Sans"/>
                      <w:bCs/>
                    </w:rPr>
                    <w:t>25%</w:t>
                  </w:r>
                </w:p>
              </w:tc>
              <w:tc>
                <w:tcPr>
                  <w:tcW w:w="0" w:type="auto"/>
                  <w:vAlign w:val="center"/>
                  <w:hideMark/>
                </w:tcPr>
                <w:p w14:paraId="4551A835" w14:textId="77777777" w:rsidR="00F01697" w:rsidRPr="00C05EB1" w:rsidRDefault="00F01697" w:rsidP="00FF227F">
                  <w:pPr>
                    <w:spacing w:after="240"/>
                    <w:rPr>
                      <w:rFonts w:cs="PT Sans"/>
                      <w:bCs/>
                    </w:rPr>
                  </w:pPr>
                  <w:r w:rsidRPr="00C05EB1">
                    <w:rPr>
                      <w:rFonts w:cs="PT Sans"/>
                      <w:bCs/>
                    </w:rPr>
                    <w:t xml:space="preserve">Giving a </w:t>
                  </w:r>
                  <w:r w:rsidRPr="00C05EB1">
                    <w:rPr>
                      <w:rFonts w:cs="PT Sans"/>
                      <w:bCs/>
                      <w:i/>
                      <w:iCs/>
                    </w:rPr>
                    <w:t>maximum</w:t>
                  </w:r>
                  <w:r w:rsidRPr="00C05EB1">
                    <w:rPr>
                      <w:rFonts w:cs="PT Sans"/>
                      <w:bCs/>
                    </w:rPr>
                    <w:t xml:space="preserve"> of 20 pieces of work per assessment task reducing to 5 in year 4</w:t>
                  </w:r>
                </w:p>
              </w:tc>
            </w:tr>
            <w:tr w:rsidR="00F01697" w:rsidRPr="00C05EB1" w14:paraId="69903964" w14:textId="77777777" w:rsidTr="00FF227F">
              <w:tc>
                <w:tcPr>
                  <w:tcW w:w="0" w:type="auto"/>
                  <w:vAlign w:val="center"/>
                  <w:hideMark/>
                </w:tcPr>
                <w:p w14:paraId="144A03E3" w14:textId="77777777" w:rsidR="00F01697" w:rsidRPr="00C05EB1" w:rsidRDefault="00F01697" w:rsidP="00FF227F">
                  <w:pPr>
                    <w:spacing w:after="240"/>
                    <w:rPr>
                      <w:rFonts w:cs="PT Sans"/>
                      <w:bCs/>
                    </w:rPr>
                  </w:pPr>
                  <w:r w:rsidRPr="00C05EB1">
                    <w:rPr>
                      <w:rFonts w:cs="PT Sans"/>
                      <w:bCs/>
                    </w:rPr>
                    <w:t>21 to 50</w:t>
                  </w:r>
                </w:p>
              </w:tc>
              <w:tc>
                <w:tcPr>
                  <w:tcW w:w="0" w:type="auto"/>
                  <w:vAlign w:val="center"/>
                  <w:hideMark/>
                </w:tcPr>
                <w:p w14:paraId="7683DC5A" w14:textId="77777777" w:rsidR="00F01697" w:rsidRPr="00C05EB1" w:rsidRDefault="00F01697" w:rsidP="00FF227F">
                  <w:pPr>
                    <w:spacing w:after="240"/>
                    <w:rPr>
                      <w:rFonts w:cs="PT Sans"/>
                      <w:bCs/>
                    </w:rPr>
                  </w:pPr>
                  <w:r w:rsidRPr="00C05EB1">
                    <w:rPr>
                      <w:rFonts w:cs="PT Sans"/>
                      <w:bCs/>
                    </w:rPr>
                    <w:t>40%</w:t>
                  </w:r>
                </w:p>
              </w:tc>
              <w:tc>
                <w:tcPr>
                  <w:tcW w:w="0" w:type="auto"/>
                  <w:vAlign w:val="center"/>
                  <w:hideMark/>
                </w:tcPr>
                <w:p w14:paraId="3BA94E13" w14:textId="77777777" w:rsidR="00F01697" w:rsidRPr="00C05EB1" w:rsidRDefault="00F01697" w:rsidP="00FF227F">
                  <w:pPr>
                    <w:spacing w:after="240"/>
                    <w:rPr>
                      <w:rFonts w:cs="PT Sans"/>
                      <w:bCs/>
                    </w:rPr>
                  </w:pPr>
                  <w:r w:rsidRPr="00C05EB1">
                    <w:rPr>
                      <w:rFonts w:cs="PT Sans"/>
                      <w:bCs/>
                    </w:rPr>
                    <w:t>20%</w:t>
                  </w:r>
                </w:p>
              </w:tc>
              <w:tc>
                <w:tcPr>
                  <w:tcW w:w="0" w:type="auto"/>
                  <w:vAlign w:val="center"/>
                  <w:hideMark/>
                </w:tcPr>
                <w:p w14:paraId="6924FF99" w14:textId="77777777" w:rsidR="00F01697" w:rsidRPr="00C05EB1" w:rsidRDefault="00F01697" w:rsidP="00FF227F">
                  <w:pPr>
                    <w:spacing w:after="240"/>
                    <w:rPr>
                      <w:rFonts w:cs="PT Sans"/>
                      <w:bCs/>
                    </w:rPr>
                  </w:pPr>
                  <w:r w:rsidRPr="00C05EB1">
                    <w:rPr>
                      <w:rFonts w:cs="PT Sans"/>
                      <w:bCs/>
                    </w:rPr>
                    <w:t>12%</w:t>
                  </w:r>
                </w:p>
              </w:tc>
              <w:tc>
                <w:tcPr>
                  <w:tcW w:w="0" w:type="auto"/>
                  <w:vAlign w:val="center"/>
                  <w:hideMark/>
                </w:tcPr>
                <w:p w14:paraId="4B6E8279" w14:textId="77777777" w:rsidR="00F01697" w:rsidRPr="00C05EB1" w:rsidRDefault="00F01697" w:rsidP="00FF227F">
                  <w:pPr>
                    <w:spacing w:after="240"/>
                    <w:rPr>
                      <w:rFonts w:cs="PT Sans"/>
                      <w:bCs/>
                    </w:rPr>
                  </w:pPr>
                  <w:r w:rsidRPr="00C05EB1">
                    <w:rPr>
                      <w:rFonts w:cs="PT Sans"/>
                      <w:bCs/>
                    </w:rPr>
                    <w:t xml:space="preserve">Giving a </w:t>
                  </w:r>
                  <w:r w:rsidRPr="00C05EB1">
                    <w:rPr>
                      <w:rFonts w:cs="PT Sans"/>
                      <w:bCs/>
                      <w:i/>
                      <w:iCs/>
                    </w:rPr>
                    <w:t>maximum</w:t>
                  </w:r>
                  <w:r w:rsidRPr="00C05EB1">
                    <w:rPr>
                      <w:rFonts w:cs="PT Sans"/>
                      <w:bCs/>
                    </w:rPr>
                    <w:t xml:space="preserve"> of 20 pieces of work per assessment task reducing to 6 in year 4</w:t>
                  </w:r>
                </w:p>
              </w:tc>
            </w:tr>
            <w:tr w:rsidR="00F01697" w:rsidRPr="00C05EB1" w14:paraId="3D7E1095" w14:textId="77777777" w:rsidTr="00FF227F">
              <w:tc>
                <w:tcPr>
                  <w:tcW w:w="0" w:type="auto"/>
                  <w:vAlign w:val="center"/>
                  <w:hideMark/>
                </w:tcPr>
                <w:p w14:paraId="5CF69E92" w14:textId="77777777" w:rsidR="00F01697" w:rsidRPr="00C05EB1" w:rsidRDefault="00F01697" w:rsidP="00FF227F">
                  <w:pPr>
                    <w:spacing w:after="240"/>
                    <w:rPr>
                      <w:rFonts w:cs="PT Sans"/>
                      <w:bCs/>
                    </w:rPr>
                  </w:pPr>
                  <w:r w:rsidRPr="00C05EB1">
                    <w:rPr>
                      <w:rFonts w:cs="PT Sans"/>
                      <w:bCs/>
                    </w:rPr>
                    <w:t>More than 50</w:t>
                  </w:r>
                </w:p>
              </w:tc>
              <w:tc>
                <w:tcPr>
                  <w:tcW w:w="0" w:type="auto"/>
                  <w:vAlign w:val="center"/>
                  <w:hideMark/>
                </w:tcPr>
                <w:p w14:paraId="7C2E40CB" w14:textId="77777777" w:rsidR="00F01697" w:rsidRPr="00C05EB1" w:rsidRDefault="00F01697" w:rsidP="00FF227F">
                  <w:pPr>
                    <w:spacing w:after="240"/>
                    <w:rPr>
                      <w:rFonts w:cs="PT Sans"/>
                      <w:bCs/>
                    </w:rPr>
                  </w:pPr>
                  <w:r w:rsidRPr="00C05EB1">
                    <w:rPr>
                      <w:rFonts w:cs="PT Sans"/>
                      <w:bCs/>
                    </w:rPr>
                    <w:t>20%</w:t>
                  </w:r>
                </w:p>
              </w:tc>
              <w:tc>
                <w:tcPr>
                  <w:tcW w:w="0" w:type="auto"/>
                  <w:vAlign w:val="center"/>
                  <w:hideMark/>
                </w:tcPr>
                <w:p w14:paraId="1578B252" w14:textId="77777777" w:rsidR="00F01697" w:rsidRPr="00C05EB1" w:rsidRDefault="00F01697" w:rsidP="00FF227F">
                  <w:pPr>
                    <w:spacing w:after="240"/>
                    <w:rPr>
                      <w:rFonts w:cs="PT Sans"/>
                      <w:bCs/>
                    </w:rPr>
                  </w:pPr>
                  <w:r w:rsidRPr="00C05EB1">
                    <w:rPr>
                      <w:rFonts w:cs="PT Sans"/>
                      <w:bCs/>
                    </w:rPr>
                    <w:t>10%</w:t>
                  </w:r>
                </w:p>
              </w:tc>
              <w:tc>
                <w:tcPr>
                  <w:tcW w:w="0" w:type="auto"/>
                  <w:vAlign w:val="center"/>
                  <w:hideMark/>
                </w:tcPr>
                <w:p w14:paraId="525DAFF5" w14:textId="77777777" w:rsidR="00F01697" w:rsidRPr="00C05EB1" w:rsidRDefault="00F01697" w:rsidP="00FF227F">
                  <w:pPr>
                    <w:spacing w:after="240"/>
                    <w:rPr>
                      <w:rFonts w:cs="PT Sans"/>
                      <w:bCs/>
                    </w:rPr>
                  </w:pPr>
                  <w:r w:rsidRPr="00C05EB1">
                    <w:rPr>
                      <w:rFonts w:cs="PT Sans"/>
                      <w:bCs/>
                    </w:rPr>
                    <w:t>8%</w:t>
                  </w:r>
                </w:p>
              </w:tc>
              <w:tc>
                <w:tcPr>
                  <w:tcW w:w="0" w:type="auto"/>
                  <w:vAlign w:val="center"/>
                  <w:hideMark/>
                </w:tcPr>
                <w:p w14:paraId="6F341E5F" w14:textId="77777777" w:rsidR="00F01697" w:rsidRPr="00C05EB1" w:rsidRDefault="00F01697" w:rsidP="00FF227F">
                  <w:pPr>
                    <w:spacing w:after="240"/>
                    <w:rPr>
                      <w:rFonts w:cs="PT Sans"/>
                      <w:bCs/>
                    </w:rPr>
                  </w:pPr>
                  <w:r w:rsidRPr="00C05EB1">
                    <w:rPr>
                      <w:rFonts w:cs="PT Sans"/>
                      <w:bCs/>
                    </w:rPr>
                    <w:t xml:space="preserve">Giving a </w:t>
                  </w:r>
                  <w:r w:rsidRPr="00C05EB1">
                    <w:rPr>
                      <w:rFonts w:cs="PT Sans"/>
                      <w:bCs/>
                      <w:i/>
                      <w:iCs/>
                    </w:rPr>
                    <w:t>minimum</w:t>
                  </w:r>
                  <w:r w:rsidRPr="00C05EB1">
                    <w:rPr>
                      <w:rFonts w:cs="PT Sans"/>
                      <w:bCs/>
                    </w:rPr>
                    <w:t xml:space="preserve"> of 10 pieces of work (up to a maximum of 30 pieces of work) per assessment task reducing to 4 in year 4</w:t>
                  </w:r>
                </w:p>
              </w:tc>
            </w:tr>
          </w:tbl>
          <w:p w14:paraId="284EF787" w14:textId="77777777" w:rsidR="00F01697" w:rsidRPr="00C05EB1" w:rsidRDefault="00F01697" w:rsidP="00FF227F">
            <w:pPr>
              <w:rPr>
                <w:sz w:val="24"/>
                <w:szCs w:val="24"/>
              </w:rPr>
            </w:pPr>
          </w:p>
        </w:tc>
      </w:tr>
    </w:tbl>
    <w:p w14:paraId="2DE70015" w14:textId="58724A24" w:rsidR="00F01697" w:rsidRPr="00C05EB1" w:rsidRDefault="008606CA" w:rsidP="00F01697">
      <w:pPr>
        <w:spacing w:after="240"/>
        <w:rPr>
          <w:rFonts w:cs="PT Sans"/>
          <w:bCs/>
        </w:rPr>
      </w:pPr>
      <w:r>
        <w:rPr>
          <w:rFonts w:cs="PT Sans"/>
          <w:bCs/>
        </w:rPr>
        <w:br/>
      </w:r>
      <w:r w:rsidR="00F01697" w:rsidRPr="00C05EB1">
        <w:rPr>
          <w:rFonts w:cs="PT Sans"/>
          <w:bCs/>
        </w:rPr>
        <w:t>Additional both External Moderation by External Examiner and Standardisation and Internal Moderation will be required for the new London franchise campus as well as any other diversification schemes.</w:t>
      </w:r>
    </w:p>
    <w:p w14:paraId="11FAF44F" w14:textId="7C7609E9" w:rsidR="00F01697" w:rsidRPr="00C05EB1" w:rsidRDefault="00F01697" w:rsidP="00F01697">
      <w:pPr>
        <w:spacing w:after="240"/>
        <w:rPr>
          <w:rFonts w:cs="PT Sans"/>
          <w:bCs/>
        </w:rPr>
      </w:pPr>
      <w:r w:rsidRPr="00C05EB1">
        <w:rPr>
          <w:rFonts w:cs="PT Sans"/>
          <w:b/>
        </w:rPr>
        <w:t>Mark Scaling</w:t>
      </w:r>
      <w:r w:rsidRPr="00C05EB1">
        <w:rPr>
          <w:rFonts w:cs="PT Sans"/>
          <w:b/>
        </w:rPr>
        <w:br/>
      </w:r>
      <w:r w:rsidR="00F17EFF" w:rsidRPr="00F17EFF">
        <w:rPr>
          <w:rFonts w:cs="PT Sans"/>
          <w:bCs/>
        </w:rPr>
        <w:t>The process for mark scaling will be agreed with the Associate Deans</w:t>
      </w:r>
      <w:r w:rsidR="0061619D">
        <w:rPr>
          <w:rFonts w:cs="PT Sans"/>
          <w:bCs/>
        </w:rPr>
        <w:t xml:space="preserve"> LTSS</w:t>
      </w:r>
      <w:r w:rsidR="00F17EFF" w:rsidRPr="00F17EFF">
        <w:rPr>
          <w:rFonts w:cs="PT Sans"/>
          <w:bCs/>
        </w:rPr>
        <w:t xml:space="preserve">, Director of Registry Services and </w:t>
      </w:r>
      <w:r w:rsidR="00E13DCD">
        <w:rPr>
          <w:rFonts w:cs="PT Sans"/>
          <w:bCs/>
        </w:rPr>
        <w:t>Director</w:t>
      </w:r>
      <w:r w:rsidR="00F17EFF" w:rsidRPr="00F17EFF">
        <w:rPr>
          <w:rFonts w:cs="PT Sans"/>
          <w:bCs/>
        </w:rPr>
        <w:t xml:space="preserve"> of AQS and </w:t>
      </w:r>
      <w:r w:rsidR="00E13DCD">
        <w:rPr>
          <w:rFonts w:cs="PT Sans"/>
          <w:bCs/>
        </w:rPr>
        <w:t>C</w:t>
      </w:r>
      <w:r w:rsidR="00F17EFF" w:rsidRPr="00F17EFF">
        <w:rPr>
          <w:rFonts w:cs="PT Sans"/>
          <w:bCs/>
        </w:rPr>
        <w:t xml:space="preserve">hair’s action will be sought should it differ from the following which states that any requests for Mark Scaling or other decisions outwith the Assessment Regulations will need to be forwarded to the Director of Registry Services who, if the grounds merit it, will take the proposal to the Academic Standing Panel which comprises Director of Registry Services, </w:t>
      </w:r>
      <w:r w:rsidR="00F17EFF">
        <w:rPr>
          <w:rFonts w:cs="PT Sans"/>
          <w:bCs/>
        </w:rPr>
        <w:t>Director</w:t>
      </w:r>
      <w:r w:rsidR="00F17EFF" w:rsidRPr="00F17EFF">
        <w:rPr>
          <w:rFonts w:cs="PT Sans"/>
          <w:bCs/>
        </w:rPr>
        <w:t xml:space="preserve"> of AQS and President of the SU.</w:t>
      </w:r>
    </w:p>
    <w:tbl>
      <w:tblPr>
        <w:tblStyle w:val="TableGrid"/>
        <w:tblW w:w="0" w:type="auto"/>
        <w:tblLook w:val="04A0" w:firstRow="1" w:lastRow="0" w:firstColumn="1" w:lastColumn="0" w:noHBand="0" w:noVBand="1"/>
      </w:tblPr>
      <w:tblGrid>
        <w:gridCol w:w="8926"/>
      </w:tblGrid>
      <w:tr w:rsidR="007811CF" w14:paraId="5270B77C" w14:textId="77777777" w:rsidTr="007811CF">
        <w:tc>
          <w:tcPr>
            <w:tcW w:w="8926" w:type="dxa"/>
          </w:tcPr>
          <w:p w14:paraId="348AAA7A" w14:textId="1A0E9A41" w:rsidR="007811CF" w:rsidRDefault="007811CF" w:rsidP="00F01697">
            <w:r>
              <w:t xml:space="preserve">Approved by </w:t>
            </w:r>
            <w:r w:rsidR="00B32A82">
              <w:t xml:space="preserve">the Academic Board, </w:t>
            </w:r>
            <w:r w:rsidR="00664CB0">
              <w:t>29</w:t>
            </w:r>
            <w:r w:rsidR="00664CB0" w:rsidRPr="00664CB0">
              <w:rPr>
                <w:vertAlign w:val="superscript"/>
              </w:rPr>
              <w:t>th</w:t>
            </w:r>
            <w:r w:rsidR="00664CB0">
              <w:t xml:space="preserve"> </w:t>
            </w:r>
            <w:r w:rsidR="00B32A82" w:rsidRPr="00B32A82">
              <w:t>June 20</w:t>
            </w:r>
            <w:r w:rsidR="00664CB0">
              <w:t>25</w:t>
            </w:r>
            <w:r w:rsidR="00B32A82" w:rsidRPr="00B32A82">
              <w:t xml:space="preserve"> </w:t>
            </w:r>
          </w:p>
          <w:p w14:paraId="49B4AACD" w14:textId="77777777" w:rsidR="00B1645A" w:rsidRDefault="00B1645A" w:rsidP="00F01697">
            <w:pPr>
              <w:rPr>
                <w:i/>
                <w:iCs/>
                <w:sz w:val="20"/>
                <w:szCs w:val="20"/>
              </w:rPr>
            </w:pPr>
          </w:p>
          <w:p w14:paraId="0BA48100" w14:textId="7F4D0B3A" w:rsidR="007811CF" w:rsidRPr="00B1645A" w:rsidRDefault="00A30B26" w:rsidP="00F01697">
            <w:pPr>
              <w:rPr>
                <w:i/>
                <w:iCs/>
                <w:sz w:val="20"/>
                <w:szCs w:val="20"/>
              </w:rPr>
            </w:pPr>
            <w:r w:rsidRPr="00B1645A">
              <w:rPr>
                <w:i/>
                <w:iCs/>
                <w:sz w:val="20"/>
                <w:szCs w:val="20"/>
              </w:rPr>
              <w:t>Academic Board will review this change at its first meeting of session 2026/27</w:t>
            </w:r>
          </w:p>
          <w:p w14:paraId="1D56A82D" w14:textId="77777777" w:rsidR="007811CF" w:rsidRDefault="007811CF" w:rsidP="00F01697"/>
          <w:p w14:paraId="303F57E0" w14:textId="77777777" w:rsidR="007811CF" w:rsidRDefault="007811CF" w:rsidP="00F01697"/>
          <w:p w14:paraId="6BBC09CE" w14:textId="77777777" w:rsidR="007811CF" w:rsidRDefault="007811CF" w:rsidP="00F01697"/>
          <w:p w14:paraId="1F3F1761" w14:textId="77777777" w:rsidR="007811CF" w:rsidRDefault="007811CF" w:rsidP="00F01697"/>
        </w:tc>
      </w:tr>
    </w:tbl>
    <w:p w14:paraId="0C274ABC" w14:textId="77777777" w:rsidR="00F01697" w:rsidRPr="00C05EB1" w:rsidRDefault="00F01697" w:rsidP="00F01697">
      <w:pPr>
        <w:spacing w:after="0" w:line="240" w:lineRule="auto"/>
      </w:pPr>
    </w:p>
    <w:p w14:paraId="04CD2D28" w14:textId="77777777" w:rsidR="00C51FE2" w:rsidRPr="00C05EB1" w:rsidRDefault="00C51FE2"/>
    <w:sectPr w:rsidR="00C51FE2" w:rsidRPr="00C05EB1">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24BA" w14:textId="77777777" w:rsidR="00DE6D13" w:rsidRDefault="00DE6D13" w:rsidP="00FF4415">
      <w:pPr>
        <w:spacing w:after="0" w:line="240" w:lineRule="auto"/>
      </w:pPr>
      <w:r>
        <w:separator/>
      </w:r>
    </w:p>
  </w:endnote>
  <w:endnote w:type="continuationSeparator" w:id="0">
    <w:p w14:paraId="343C24D2" w14:textId="77777777" w:rsidR="00DE6D13" w:rsidRDefault="00DE6D13" w:rsidP="00FF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885717"/>
      <w:docPartObj>
        <w:docPartGallery w:val="Page Numbers (Bottom of Page)"/>
        <w:docPartUnique/>
      </w:docPartObj>
    </w:sdtPr>
    <w:sdtEndPr>
      <w:rPr>
        <w:noProof/>
      </w:rPr>
    </w:sdtEndPr>
    <w:sdtContent>
      <w:p w14:paraId="1EB87A2B" w14:textId="1D9DFE0A" w:rsidR="00FF4415" w:rsidRDefault="00FF44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3F306" w14:textId="77777777" w:rsidR="00FF4415" w:rsidRDefault="00FF4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A6063" w14:textId="77777777" w:rsidR="00DE6D13" w:rsidRDefault="00DE6D13" w:rsidP="00FF4415">
      <w:pPr>
        <w:spacing w:after="0" w:line="240" w:lineRule="auto"/>
      </w:pPr>
      <w:r>
        <w:separator/>
      </w:r>
    </w:p>
  </w:footnote>
  <w:footnote w:type="continuationSeparator" w:id="0">
    <w:p w14:paraId="3543317A" w14:textId="77777777" w:rsidR="00DE6D13" w:rsidRDefault="00DE6D13" w:rsidP="00FF4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6A1F"/>
    <w:multiLevelType w:val="hybridMultilevel"/>
    <w:tmpl w:val="2406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8550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0848F7"/>
    <w:rsid w:val="0003120C"/>
    <w:rsid w:val="000C5B59"/>
    <w:rsid w:val="000F58C7"/>
    <w:rsid w:val="00134C68"/>
    <w:rsid w:val="00226461"/>
    <w:rsid w:val="0034173B"/>
    <w:rsid w:val="00376BE5"/>
    <w:rsid w:val="003D2B80"/>
    <w:rsid w:val="00437CD1"/>
    <w:rsid w:val="00477F2E"/>
    <w:rsid w:val="004A6DE1"/>
    <w:rsid w:val="004B4070"/>
    <w:rsid w:val="004B5F6E"/>
    <w:rsid w:val="0050181F"/>
    <w:rsid w:val="00505BFF"/>
    <w:rsid w:val="005B2400"/>
    <w:rsid w:val="005E48A2"/>
    <w:rsid w:val="0061619D"/>
    <w:rsid w:val="00664CB0"/>
    <w:rsid w:val="00671D44"/>
    <w:rsid w:val="00684AB9"/>
    <w:rsid w:val="006C2A2E"/>
    <w:rsid w:val="006C3984"/>
    <w:rsid w:val="00731DEB"/>
    <w:rsid w:val="007811CF"/>
    <w:rsid w:val="007B6750"/>
    <w:rsid w:val="007C661B"/>
    <w:rsid w:val="008606CA"/>
    <w:rsid w:val="00910054"/>
    <w:rsid w:val="00934DAE"/>
    <w:rsid w:val="0098389D"/>
    <w:rsid w:val="00A30B26"/>
    <w:rsid w:val="00A72FA4"/>
    <w:rsid w:val="00AA174D"/>
    <w:rsid w:val="00B0332B"/>
    <w:rsid w:val="00B1645A"/>
    <w:rsid w:val="00B32A82"/>
    <w:rsid w:val="00B73D6E"/>
    <w:rsid w:val="00B76B19"/>
    <w:rsid w:val="00BF0677"/>
    <w:rsid w:val="00BF1816"/>
    <w:rsid w:val="00C05EB1"/>
    <w:rsid w:val="00C30D88"/>
    <w:rsid w:val="00C51FE2"/>
    <w:rsid w:val="00CA722C"/>
    <w:rsid w:val="00DB0711"/>
    <w:rsid w:val="00DC7DE6"/>
    <w:rsid w:val="00DE6D13"/>
    <w:rsid w:val="00DF642E"/>
    <w:rsid w:val="00E00FB3"/>
    <w:rsid w:val="00E04B03"/>
    <w:rsid w:val="00E13DCD"/>
    <w:rsid w:val="00E6465D"/>
    <w:rsid w:val="00E7290F"/>
    <w:rsid w:val="00ED27C8"/>
    <w:rsid w:val="00F01697"/>
    <w:rsid w:val="00F17EFF"/>
    <w:rsid w:val="00FD4D10"/>
    <w:rsid w:val="00FF4415"/>
    <w:rsid w:val="070848F7"/>
    <w:rsid w:val="35A2D125"/>
    <w:rsid w:val="5D72640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48F7"/>
  <w15:chartTrackingRefBased/>
  <w15:docId w15:val="{6B3B799F-F713-4FE6-9E58-05F33986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77F2E"/>
    <w:rPr>
      <w:sz w:val="16"/>
      <w:szCs w:val="16"/>
    </w:rPr>
  </w:style>
  <w:style w:type="paragraph" w:styleId="CommentText">
    <w:name w:val="annotation text"/>
    <w:basedOn w:val="Normal"/>
    <w:link w:val="CommentTextChar"/>
    <w:uiPriority w:val="99"/>
    <w:unhideWhenUsed/>
    <w:rsid w:val="00477F2E"/>
    <w:pPr>
      <w:spacing w:line="240" w:lineRule="auto"/>
    </w:pPr>
    <w:rPr>
      <w:sz w:val="20"/>
      <w:szCs w:val="20"/>
    </w:rPr>
  </w:style>
  <w:style w:type="character" w:customStyle="1" w:styleId="CommentTextChar">
    <w:name w:val="Comment Text Char"/>
    <w:basedOn w:val="DefaultParagraphFont"/>
    <w:link w:val="CommentText"/>
    <w:uiPriority w:val="99"/>
    <w:rsid w:val="00477F2E"/>
    <w:rPr>
      <w:sz w:val="20"/>
      <w:szCs w:val="20"/>
    </w:rPr>
  </w:style>
  <w:style w:type="paragraph" w:styleId="CommentSubject">
    <w:name w:val="annotation subject"/>
    <w:basedOn w:val="CommentText"/>
    <w:next w:val="CommentText"/>
    <w:link w:val="CommentSubjectChar"/>
    <w:uiPriority w:val="99"/>
    <w:semiHidden/>
    <w:unhideWhenUsed/>
    <w:rsid w:val="00477F2E"/>
    <w:rPr>
      <w:b/>
      <w:bCs/>
    </w:rPr>
  </w:style>
  <w:style w:type="character" w:customStyle="1" w:styleId="CommentSubjectChar">
    <w:name w:val="Comment Subject Char"/>
    <w:basedOn w:val="CommentTextChar"/>
    <w:link w:val="CommentSubject"/>
    <w:uiPriority w:val="99"/>
    <w:semiHidden/>
    <w:rsid w:val="00477F2E"/>
    <w:rPr>
      <w:b/>
      <w:bCs/>
      <w:sz w:val="20"/>
      <w:szCs w:val="20"/>
    </w:rPr>
  </w:style>
  <w:style w:type="table" w:styleId="TableGrid">
    <w:name w:val="Table Grid"/>
    <w:aliases w:val="C21 table"/>
    <w:basedOn w:val="TableNormal"/>
    <w:uiPriority w:val="39"/>
    <w:rsid w:val="00F01697"/>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97"/>
    <w:pPr>
      <w:spacing w:line="259" w:lineRule="auto"/>
      <w:ind w:left="720"/>
      <w:contextualSpacing/>
    </w:pPr>
    <w:rPr>
      <w:rFonts w:eastAsiaTheme="minorHAnsi"/>
      <w:sz w:val="22"/>
      <w:szCs w:val="22"/>
      <w:lang w:eastAsia="en-US"/>
    </w:rPr>
  </w:style>
  <w:style w:type="paragraph" w:styleId="Header">
    <w:name w:val="header"/>
    <w:basedOn w:val="Normal"/>
    <w:link w:val="HeaderChar"/>
    <w:uiPriority w:val="99"/>
    <w:unhideWhenUsed/>
    <w:rsid w:val="00FF4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415"/>
  </w:style>
  <w:style w:type="paragraph" w:styleId="Footer">
    <w:name w:val="footer"/>
    <w:basedOn w:val="Normal"/>
    <w:link w:val="FooterChar"/>
    <w:uiPriority w:val="99"/>
    <w:unhideWhenUsed/>
    <w:rsid w:val="00FF4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30027">
      <w:bodyDiv w:val="1"/>
      <w:marLeft w:val="0"/>
      <w:marRight w:val="0"/>
      <w:marTop w:val="0"/>
      <w:marBottom w:val="0"/>
      <w:divBdr>
        <w:top w:val="none" w:sz="0" w:space="0" w:color="auto"/>
        <w:left w:val="none" w:sz="0" w:space="0" w:color="auto"/>
        <w:bottom w:val="none" w:sz="0" w:space="0" w:color="auto"/>
        <w:right w:val="none" w:sz="0" w:space="0" w:color="auto"/>
      </w:divBdr>
    </w:div>
    <w:div w:id="142804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1ACA4-A45A-4C23-AB45-74E7F6206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892</Words>
  <Characters>5086</Characters>
  <Application>Microsoft Office Word</Application>
  <DocSecurity>4</DocSecurity>
  <Lines>42</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Harriet A</dc:creator>
  <cp:keywords/>
  <dc:description/>
  <cp:lastModifiedBy>Travis, Harriet A</cp:lastModifiedBy>
  <cp:revision>2</cp:revision>
  <dcterms:created xsi:type="dcterms:W3CDTF">2025-07-21T11:30:00Z</dcterms:created>
  <dcterms:modified xsi:type="dcterms:W3CDTF">2025-07-21T11:30:00Z</dcterms:modified>
</cp:coreProperties>
</file>