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768" w:rsidRPr="00025952" w:rsidRDefault="00910768" w:rsidP="39BA3DAB">
      <w:pPr>
        <w:rPr>
          <w:rFonts w:ascii="Arial" w:hAnsi="Arial" w:cs="Arial"/>
          <w:b/>
          <w:bCs/>
          <w:sz w:val="32"/>
          <w:szCs w:val="32"/>
        </w:rPr>
      </w:pPr>
      <w:r w:rsidRPr="00025952">
        <w:rPr>
          <w:rFonts w:ascii="Arial" w:hAnsi="Arial" w:cs="Arial"/>
          <w:b/>
          <w:bCs/>
          <w:sz w:val="32"/>
          <w:szCs w:val="32"/>
        </w:rPr>
        <w:t xml:space="preserve">Career Readiness - </w:t>
      </w:r>
      <w:r w:rsidR="00025952">
        <w:rPr>
          <w:rFonts w:ascii="Arial" w:hAnsi="Arial" w:cs="Arial"/>
          <w:b/>
          <w:bCs/>
          <w:sz w:val="32"/>
          <w:szCs w:val="32"/>
        </w:rPr>
        <w:t xml:space="preserve">summary of </w:t>
      </w:r>
      <w:r w:rsidRPr="00025952">
        <w:rPr>
          <w:rFonts w:ascii="Arial" w:hAnsi="Arial" w:cs="Arial"/>
          <w:b/>
          <w:bCs/>
          <w:sz w:val="32"/>
          <w:szCs w:val="32"/>
        </w:rPr>
        <w:t>recent research</w:t>
      </w:r>
    </w:p>
    <w:p w:rsidR="00E973FE" w:rsidRPr="00910768" w:rsidRDefault="00E973FE" w:rsidP="39BA3DAB">
      <w:pPr>
        <w:rPr>
          <w:rFonts w:ascii="Arial" w:hAnsi="Arial" w:cs="Arial"/>
          <w:bCs/>
        </w:rPr>
      </w:pPr>
      <w:r w:rsidRPr="00910768">
        <w:rPr>
          <w:rFonts w:ascii="Arial" w:hAnsi="Arial" w:cs="Arial"/>
          <w:bCs/>
        </w:rPr>
        <w:t xml:space="preserve">A selection and summary of </w:t>
      </w:r>
      <w:r w:rsidR="00910768">
        <w:rPr>
          <w:rFonts w:ascii="Arial" w:hAnsi="Arial" w:cs="Arial"/>
          <w:bCs/>
        </w:rPr>
        <w:t xml:space="preserve">relevant </w:t>
      </w:r>
      <w:r w:rsidRPr="00910768">
        <w:rPr>
          <w:rFonts w:ascii="Arial" w:hAnsi="Arial" w:cs="Arial"/>
          <w:bCs/>
        </w:rPr>
        <w:t>recent research and articles addressing:</w:t>
      </w:r>
    </w:p>
    <w:p w:rsidR="00E973FE" w:rsidRPr="00910768" w:rsidRDefault="00E973FE" w:rsidP="00E973FE">
      <w:pPr>
        <w:pStyle w:val="ListParagraph"/>
        <w:numPr>
          <w:ilvl w:val="0"/>
          <w:numId w:val="10"/>
        </w:numPr>
        <w:rPr>
          <w:rFonts w:ascii="Arial" w:hAnsi="Arial" w:cs="Arial"/>
          <w:bCs/>
        </w:rPr>
      </w:pPr>
      <w:r w:rsidRPr="00910768">
        <w:rPr>
          <w:rFonts w:ascii="Arial" w:hAnsi="Arial" w:cs="Arial"/>
          <w:bCs/>
        </w:rPr>
        <w:t>The impact of Careers Education, Advice and Guidance</w:t>
      </w:r>
    </w:p>
    <w:p w:rsidR="00E973FE" w:rsidRPr="00910768" w:rsidRDefault="00E973FE" w:rsidP="00E973FE">
      <w:pPr>
        <w:pStyle w:val="ListParagraph"/>
        <w:numPr>
          <w:ilvl w:val="0"/>
          <w:numId w:val="10"/>
        </w:numPr>
        <w:rPr>
          <w:rFonts w:ascii="Arial" w:hAnsi="Arial" w:cs="Arial"/>
          <w:bCs/>
        </w:rPr>
      </w:pPr>
      <w:r w:rsidRPr="00910768">
        <w:rPr>
          <w:rFonts w:ascii="Arial" w:hAnsi="Arial" w:cs="Arial"/>
          <w:bCs/>
        </w:rPr>
        <w:t>Factors affecting students' career thinking and decision-making</w:t>
      </w:r>
    </w:p>
    <w:p w:rsidR="00E973FE" w:rsidRPr="00910768" w:rsidRDefault="00E973FE" w:rsidP="00E973FE">
      <w:pPr>
        <w:pStyle w:val="ListParagraph"/>
        <w:numPr>
          <w:ilvl w:val="0"/>
          <w:numId w:val="10"/>
        </w:numPr>
        <w:rPr>
          <w:rFonts w:ascii="Arial" w:hAnsi="Arial" w:cs="Arial"/>
          <w:bCs/>
        </w:rPr>
      </w:pPr>
      <w:r w:rsidRPr="00910768">
        <w:rPr>
          <w:rFonts w:ascii="Arial" w:hAnsi="Arial" w:cs="Arial"/>
          <w:bCs/>
        </w:rPr>
        <w:t>What employers look for</w:t>
      </w:r>
    </w:p>
    <w:p w:rsidR="00E973FE" w:rsidRPr="00910768" w:rsidRDefault="00E973FE" w:rsidP="00E973FE">
      <w:pPr>
        <w:pStyle w:val="ListParagraph"/>
        <w:numPr>
          <w:ilvl w:val="0"/>
          <w:numId w:val="10"/>
        </w:numPr>
        <w:rPr>
          <w:rFonts w:ascii="Arial" w:hAnsi="Arial" w:cs="Arial"/>
          <w:bCs/>
        </w:rPr>
      </w:pPr>
      <w:proofErr w:type="spellStart"/>
      <w:r w:rsidRPr="00910768">
        <w:rPr>
          <w:rFonts w:ascii="Arial" w:hAnsi="Arial" w:cs="Arial"/>
          <w:bCs/>
        </w:rPr>
        <w:t>Labour</w:t>
      </w:r>
      <w:proofErr w:type="spellEnd"/>
      <w:r w:rsidRPr="00910768">
        <w:rPr>
          <w:rFonts w:ascii="Arial" w:hAnsi="Arial" w:cs="Arial"/>
          <w:bCs/>
        </w:rPr>
        <w:t xml:space="preserve"> Market Information and intelligence</w:t>
      </w:r>
    </w:p>
    <w:p w:rsidR="00E973FE" w:rsidRPr="00910768" w:rsidRDefault="00E973FE" w:rsidP="00E973FE">
      <w:pPr>
        <w:pStyle w:val="ListParagraph"/>
        <w:numPr>
          <w:ilvl w:val="0"/>
          <w:numId w:val="10"/>
        </w:numPr>
        <w:rPr>
          <w:rFonts w:ascii="Arial" w:hAnsi="Arial" w:cs="Arial"/>
          <w:bCs/>
        </w:rPr>
      </w:pPr>
      <w:r w:rsidRPr="00910768">
        <w:rPr>
          <w:rFonts w:ascii="Arial" w:hAnsi="Arial" w:cs="Arial"/>
          <w:bCs/>
        </w:rPr>
        <w:t>Curriculum design</w:t>
      </w:r>
    </w:p>
    <w:p w:rsidR="3ED0DE78" w:rsidRPr="00910768" w:rsidRDefault="02774E31" w:rsidP="3ED0DE78">
      <w:pPr>
        <w:rPr>
          <w:rFonts w:ascii="Arial" w:hAnsi="Arial" w:cs="Arial"/>
        </w:rPr>
      </w:pPr>
      <w:r w:rsidRPr="00910768">
        <w:rPr>
          <w:rFonts w:ascii="Arial" w:eastAsia="Calibri" w:hAnsi="Arial" w:cs="Arial"/>
          <w:b/>
          <w:bCs/>
        </w:rPr>
        <w:t xml:space="preserve">Careers Education, Advice and Guidance – </w:t>
      </w:r>
      <w:r w:rsidR="00E973FE" w:rsidRPr="00910768">
        <w:rPr>
          <w:rFonts w:ascii="Arial" w:eastAsia="Calibri" w:hAnsi="Arial" w:cs="Arial"/>
          <w:b/>
          <w:bCs/>
        </w:rPr>
        <w:t>impact</w:t>
      </w:r>
    </w:p>
    <w:p w:rsidR="3ED0DE78" w:rsidRPr="00910768" w:rsidRDefault="02774E31" w:rsidP="02774E31">
      <w:pPr>
        <w:pStyle w:val="ListParagraph"/>
        <w:numPr>
          <w:ilvl w:val="0"/>
          <w:numId w:val="7"/>
        </w:numPr>
        <w:rPr>
          <w:rFonts w:ascii="Arial" w:hAnsi="Arial" w:cs="Arial"/>
        </w:rPr>
      </w:pPr>
      <w:r w:rsidRPr="00910768">
        <w:rPr>
          <w:rFonts w:ascii="Arial" w:eastAsia="Calibri" w:hAnsi="Arial" w:cs="Arial"/>
          <w:i/>
          <w:iCs/>
        </w:rPr>
        <w:t>The Graduate Success Project - AGCAS/AGR, BIS funded (2013).</w:t>
      </w:r>
      <w:r w:rsidRPr="00910768">
        <w:rPr>
          <w:rFonts w:ascii="Arial" w:eastAsia="Calibri" w:hAnsi="Arial" w:cs="Arial"/>
        </w:rPr>
        <w:t xml:space="preserve"> Investigates graduates’ experiences at university; transitions to working life and understanding of career planning and choices, all in relation to demographics and educational backgrounds. It also contains an employer survey that gauges their expectations of graduates and their experiences of both engaging and recruiting graduates. Key findings include </w:t>
      </w:r>
      <w:proofErr w:type="spellStart"/>
      <w:r w:rsidRPr="00910768">
        <w:rPr>
          <w:rFonts w:ascii="Arial" w:eastAsia="Calibri" w:hAnsi="Arial" w:cs="Arial"/>
        </w:rPr>
        <w:t>i</w:t>
      </w:r>
      <w:proofErr w:type="spellEnd"/>
      <w:r w:rsidRPr="00910768">
        <w:rPr>
          <w:rFonts w:ascii="Arial" w:eastAsia="Calibri" w:hAnsi="Arial" w:cs="Arial"/>
        </w:rPr>
        <w:t xml:space="preserve">) more embedding of career planning so that it is not seen as incompatible with academic studies and ii) 75% of employers surveyed believed that students using the careers service had a head start in the graduate jobs market.  </w:t>
      </w:r>
      <w:hyperlink r:id="rId7">
        <w:r w:rsidRPr="00910768">
          <w:rPr>
            <w:rStyle w:val="Hyperlink"/>
            <w:rFonts w:ascii="Arial" w:hAnsi="Arial" w:cs="Arial"/>
          </w:rPr>
          <w:t>https://www.agcas.org.uk/Knowledge-Centre/f4e4e48d-d0d1-40ec-975e-f0347d190210</w:t>
        </w:r>
      </w:hyperlink>
    </w:p>
    <w:p w:rsidR="3ED0DE78" w:rsidRPr="00910768" w:rsidRDefault="02774E31" w:rsidP="02774E31">
      <w:pPr>
        <w:ind w:left="360" w:firstLine="360"/>
        <w:rPr>
          <w:rFonts w:ascii="Arial" w:eastAsia="Calibri" w:hAnsi="Arial" w:cs="Arial"/>
        </w:rPr>
      </w:pPr>
      <w:r w:rsidRPr="00910768">
        <w:rPr>
          <w:rFonts w:ascii="Arial" w:eastAsia="Calibri" w:hAnsi="Arial" w:cs="Arial"/>
        </w:rPr>
        <w:t xml:space="preserve">*A useful website aimed at students was also formed as a result of this project, including </w:t>
      </w:r>
      <w:r w:rsidR="00910768">
        <w:rPr>
          <w:rFonts w:ascii="Arial" w:eastAsia="Calibri" w:hAnsi="Arial" w:cs="Arial"/>
        </w:rPr>
        <w:tab/>
      </w:r>
      <w:r w:rsidRPr="00910768">
        <w:rPr>
          <w:rFonts w:ascii="Arial" w:eastAsia="Calibri" w:hAnsi="Arial" w:cs="Arial"/>
        </w:rPr>
        <w:t xml:space="preserve">lots of case studies, videos and practical advice - </w:t>
      </w:r>
      <w:hyperlink r:id="rId8">
        <w:r w:rsidRPr="00910768">
          <w:rPr>
            <w:rStyle w:val="Hyperlink"/>
            <w:rFonts w:ascii="Arial" w:eastAsia="Calibri" w:hAnsi="Arial" w:cs="Arial"/>
          </w:rPr>
          <w:t>http://www.graduate-success.org.uk/</w:t>
        </w:r>
      </w:hyperlink>
    </w:p>
    <w:p w:rsidR="02774E31" w:rsidRPr="00910768" w:rsidRDefault="02774E31" w:rsidP="02774E31">
      <w:pPr>
        <w:pStyle w:val="ListParagraph"/>
        <w:numPr>
          <w:ilvl w:val="0"/>
          <w:numId w:val="9"/>
        </w:numPr>
        <w:rPr>
          <w:rFonts w:ascii="Arial" w:hAnsi="Arial" w:cs="Arial"/>
          <w:i/>
          <w:iCs/>
        </w:rPr>
      </w:pPr>
      <w:r w:rsidRPr="00910768">
        <w:rPr>
          <w:rFonts w:ascii="Arial" w:eastAsiaTheme="minorEastAsia" w:hAnsi="Arial" w:cs="Arial"/>
          <w:i/>
          <w:iCs/>
        </w:rPr>
        <w:t xml:space="preserve">Impact of careers education on graduate success – </w:t>
      </w:r>
      <w:proofErr w:type="spellStart"/>
      <w:r w:rsidRPr="00910768">
        <w:rPr>
          <w:rFonts w:ascii="Arial" w:eastAsiaTheme="minorEastAsia" w:hAnsi="Arial" w:cs="Arial"/>
          <w:i/>
          <w:iCs/>
        </w:rPr>
        <w:t>O'Riordan</w:t>
      </w:r>
      <w:proofErr w:type="spellEnd"/>
      <w:r w:rsidRPr="00910768">
        <w:rPr>
          <w:rFonts w:ascii="Arial" w:eastAsiaTheme="minorEastAsia" w:hAnsi="Arial" w:cs="Arial"/>
          <w:i/>
          <w:iCs/>
        </w:rPr>
        <w:t>, R (2018)</w:t>
      </w:r>
      <w:r w:rsidRPr="00910768">
        <w:rPr>
          <w:rFonts w:ascii="Arial" w:eastAsiaTheme="minorEastAsia" w:hAnsi="Arial" w:cs="Arial"/>
        </w:rPr>
        <w:t xml:space="preserve">. A HECSU funded practitioner research project at the University of Dundee, showing that participating in an optional credit-bearing careers education has a positive effect on graduates' destination outcomes and confidence levels about life after graduation. </w:t>
      </w:r>
      <w:hyperlink r:id="rId9">
        <w:r w:rsidRPr="00910768">
          <w:rPr>
            <w:rStyle w:val="Hyperlink"/>
            <w:rFonts w:ascii="Arial" w:hAnsi="Arial" w:cs="Arial"/>
          </w:rPr>
          <w:t>https://luminate.prospects.ac.uk/impact-of-careers-education-on-graduate-success</w:t>
        </w:r>
      </w:hyperlink>
      <w:r w:rsidRPr="00910768">
        <w:rPr>
          <w:rFonts w:ascii="Arial" w:eastAsia="Source Sans Pro" w:hAnsi="Arial" w:cs="Arial"/>
          <w:color w:val="485D65"/>
          <w:sz w:val="31"/>
          <w:szCs w:val="31"/>
        </w:rPr>
        <w:t xml:space="preserve"> </w:t>
      </w:r>
    </w:p>
    <w:p w:rsidR="02774E31" w:rsidRPr="00910768" w:rsidRDefault="02774E31" w:rsidP="02774E31">
      <w:pPr>
        <w:pStyle w:val="ListParagraph"/>
        <w:numPr>
          <w:ilvl w:val="0"/>
          <w:numId w:val="9"/>
        </w:numPr>
        <w:spacing w:after="0"/>
        <w:rPr>
          <w:rFonts w:ascii="Arial" w:hAnsi="Arial" w:cs="Arial"/>
          <w:color w:val="485D65"/>
          <w:sz w:val="24"/>
          <w:szCs w:val="24"/>
        </w:rPr>
      </w:pPr>
      <w:r w:rsidRPr="00910768">
        <w:rPr>
          <w:rFonts w:ascii="Arial" w:eastAsiaTheme="minorEastAsia" w:hAnsi="Arial" w:cs="Arial"/>
          <w:i/>
          <w:iCs/>
        </w:rPr>
        <w:t xml:space="preserve">Careers education – are we preaching to the converted? – </w:t>
      </w:r>
      <w:proofErr w:type="spellStart"/>
      <w:r w:rsidRPr="00910768">
        <w:rPr>
          <w:rFonts w:ascii="Arial" w:eastAsiaTheme="minorEastAsia" w:hAnsi="Arial" w:cs="Arial"/>
          <w:i/>
          <w:iCs/>
        </w:rPr>
        <w:t>O'Riordan</w:t>
      </w:r>
      <w:proofErr w:type="spellEnd"/>
      <w:r w:rsidRPr="00910768">
        <w:rPr>
          <w:rFonts w:ascii="Arial" w:eastAsiaTheme="minorEastAsia" w:hAnsi="Arial" w:cs="Arial"/>
          <w:i/>
          <w:iCs/>
        </w:rPr>
        <w:t>, R (2018)</w:t>
      </w:r>
      <w:r w:rsidRPr="00910768">
        <w:rPr>
          <w:rFonts w:ascii="Arial" w:eastAsiaTheme="minorEastAsia" w:hAnsi="Arial" w:cs="Arial"/>
        </w:rPr>
        <w:t>. A HECSU funded practitioner research project at the University of Dundee</w:t>
      </w:r>
      <w:r w:rsidRPr="00910768">
        <w:rPr>
          <w:rFonts w:ascii="Arial" w:eastAsia="Source Sans Pro" w:hAnsi="Arial" w:cs="Arial"/>
          <w:color w:val="485D65"/>
          <w:sz w:val="31"/>
          <w:szCs w:val="31"/>
        </w:rPr>
        <w:t xml:space="preserve"> </w:t>
      </w:r>
      <w:r w:rsidRPr="00910768">
        <w:rPr>
          <w:rFonts w:ascii="Arial" w:eastAsiaTheme="minorEastAsia" w:hAnsi="Arial" w:cs="Arial"/>
        </w:rPr>
        <w:t>explores the challenge that students choosing to take careers modules are highly motivated and would succeed anyway. By using other student engagement activity as a measure of motivation, the research maintains the finding that students taking a careers module were more confident about life after graduation</w:t>
      </w:r>
      <w:r w:rsidRPr="00910768">
        <w:rPr>
          <w:rFonts w:ascii="Arial" w:eastAsia="Source Sans Pro" w:hAnsi="Arial" w:cs="Arial"/>
          <w:color w:val="485D65"/>
          <w:sz w:val="24"/>
          <w:szCs w:val="24"/>
        </w:rPr>
        <w:t xml:space="preserve"> - </w:t>
      </w:r>
      <w:hyperlink r:id="rId10">
        <w:r w:rsidRPr="00910768">
          <w:rPr>
            <w:rStyle w:val="Hyperlink"/>
            <w:rFonts w:ascii="Arial" w:hAnsi="Arial" w:cs="Arial"/>
          </w:rPr>
          <w:t>https://luminate.prospects.ac.uk/careers-education-are-we-preaching-to-the-converted</w:t>
        </w:r>
      </w:hyperlink>
    </w:p>
    <w:p w:rsidR="02774E31" w:rsidRPr="00910768" w:rsidRDefault="02774E31" w:rsidP="02774E31">
      <w:pPr>
        <w:pStyle w:val="ListParagraph"/>
        <w:numPr>
          <w:ilvl w:val="0"/>
          <w:numId w:val="9"/>
        </w:numPr>
        <w:spacing w:after="0"/>
        <w:rPr>
          <w:rFonts w:ascii="Arial" w:hAnsi="Arial" w:cs="Arial"/>
          <w:i/>
          <w:iCs/>
        </w:rPr>
      </w:pPr>
      <w:r w:rsidRPr="00910768">
        <w:rPr>
          <w:rFonts w:ascii="Arial" w:eastAsia="Calibri" w:hAnsi="Arial" w:cs="Arial"/>
          <w:i/>
          <w:iCs/>
        </w:rPr>
        <w:t xml:space="preserve">Who wins the rat race? Social justice and the graduate </w:t>
      </w:r>
      <w:proofErr w:type="spellStart"/>
      <w:r w:rsidRPr="00910768">
        <w:rPr>
          <w:rFonts w:ascii="Arial" w:eastAsia="Calibri" w:hAnsi="Arial" w:cs="Arial"/>
          <w:i/>
          <w:iCs/>
        </w:rPr>
        <w:t>labour</w:t>
      </w:r>
      <w:proofErr w:type="spellEnd"/>
      <w:r w:rsidRPr="00910768">
        <w:rPr>
          <w:rFonts w:ascii="Arial" w:eastAsia="Calibri" w:hAnsi="Arial" w:cs="Arial"/>
          <w:i/>
          <w:iCs/>
        </w:rPr>
        <w:t xml:space="preserve"> market – Hooley, Tristram (2015).</w:t>
      </w:r>
      <w:r w:rsidRPr="00910768">
        <w:rPr>
          <w:rFonts w:ascii="Arial" w:eastAsia="Calibri" w:hAnsi="Arial" w:cs="Arial"/>
        </w:rPr>
        <w:t xml:space="preserve"> An article that presents the case for a serious injection of ethics and politics into careers guidance practice to help tackle inequalities in the graduate </w:t>
      </w:r>
      <w:proofErr w:type="spellStart"/>
      <w:r w:rsidRPr="00910768">
        <w:rPr>
          <w:rFonts w:ascii="Arial" w:eastAsia="Calibri" w:hAnsi="Arial" w:cs="Arial"/>
        </w:rPr>
        <w:t>labour</w:t>
      </w:r>
      <w:proofErr w:type="spellEnd"/>
      <w:r w:rsidRPr="00910768">
        <w:rPr>
          <w:rFonts w:ascii="Arial" w:eastAsia="Calibri" w:hAnsi="Arial" w:cs="Arial"/>
        </w:rPr>
        <w:t xml:space="preserve"> market - </w:t>
      </w:r>
      <w:hyperlink r:id="rId11">
        <w:r w:rsidRPr="00910768">
          <w:rPr>
            <w:rStyle w:val="Hyperlink"/>
            <w:rFonts w:ascii="Arial" w:eastAsia="Calibri" w:hAnsi="Arial" w:cs="Arial"/>
          </w:rPr>
          <w:t>https://derby.openrepository.com/bitstream/handle/10545/581890/who+wins+the+rat+race.pdf?sequence=1</w:t>
        </w:r>
      </w:hyperlink>
      <w:r w:rsidRPr="00910768">
        <w:rPr>
          <w:rFonts w:ascii="Arial" w:eastAsia="Calibri" w:hAnsi="Arial" w:cs="Arial"/>
        </w:rPr>
        <w:t xml:space="preserve"> </w:t>
      </w:r>
    </w:p>
    <w:p w:rsidR="02774E31" w:rsidRPr="00910768" w:rsidRDefault="02774E31" w:rsidP="02774E31">
      <w:pPr>
        <w:ind w:left="360" w:firstLine="360"/>
        <w:rPr>
          <w:rFonts w:ascii="Arial" w:eastAsia="Calibri" w:hAnsi="Arial" w:cs="Arial"/>
        </w:rPr>
      </w:pPr>
    </w:p>
    <w:p w:rsidR="39BA3DAB" w:rsidRPr="00910768" w:rsidRDefault="048112EB" w:rsidP="048112EB">
      <w:pPr>
        <w:rPr>
          <w:rFonts w:ascii="Arial" w:hAnsi="Arial" w:cs="Arial"/>
          <w:b/>
          <w:bCs/>
        </w:rPr>
      </w:pPr>
      <w:r w:rsidRPr="00910768">
        <w:rPr>
          <w:rFonts w:ascii="Arial" w:hAnsi="Arial" w:cs="Arial"/>
          <w:b/>
          <w:bCs/>
        </w:rPr>
        <w:t xml:space="preserve">Factors affecting student/graduate career thinking and decision making </w:t>
      </w:r>
    </w:p>
    <w:p w:rsidR="2956FB9C" w:rsidRPr="00910768" w:rsidRDefault="2956FB9C" w:rsidP="00B8498C">
      <w:pPr>
        <w:pStyle w:val="ListParagraph"/>
        <w:numPr>
          <w:ilvl w:val="0"/>
          <w:numId w:val="9"/>
        </w:numPr>
        <w:rPr>
          <w:rFonts w:ascii="Arial" w:hAnsi="Arial" w:cs="Arial"/>
          <w:i/>
          <w:iCs/>
        </w:rPr>
      </w:pPr>
      <w:proofErr w:type="spellStart"/>
      <w:r w:rsidRPr="00910768">
        <w:rPr>
          <w:rFonts w:ascii="Arial" w:eastAsiaTheme="minorEastAsia" w:hAnsi="Arial" w:cs="Arial"/>
          <w:i/>
          <w:iCs/>
        </w:rPr>
        <w:t>Futuretrack</w:t>
      </w:r>
      <w:proofErr w:type="spellEnd"/>
      <w:r w:rsidRPr="00910768">
        <w:rPr>
          <w:rFonts w:ascii="Arial" w:eastAsiaTheme="minorEastAsia" w:hAnsi="Arial" w:cs="Arial"/>
          <w:i/>
          <w:iCs/>
        </w:rPr>
        <w:t xml:space="preserve"> - </w:t>
      </w:r>
      <w:r w:rsidRPr="00910768">
        <w:rPr>
          <w:rFonts w:ascii="Arial" w:hAnsi="Arial" w:cs="Arial"/>
          <w:i/>
          <w:iCs/>
        </w:rPr>
        <w:t>Warwick Institute for Employment Research, f</w:t>
      </w:r>
      <w:r w:rsidRPr="00910768">
        <w:rPr>
          <w:rFonts w:ascii="Arial" w:eastAsiaTheme="minorEastAsia" w:hAnsi="Arial" w:cs="Arial"/>
          <w:i/>
          <w:iCs/>
        </w:rPr>
        <w:t>unded by HECSU (2006-2012)</w:t>
      </w:r>
      <w:r w:rsidRPr="00910768">
        <w:rPr>
          <w:rFonts w:ascii="Arial" w:eastAsiaTheme="minorEastAsia" w:hAnsi="Arial" w:cs="Arial"/>
        </w:rPr>
        <w:t>. A longitudinal study that followed the cohort of students who applied to university through UCAS in 2005/6. The project explores why students decide to apply to higher education and how they choose their institution and course. It also examines their attitudes to money, university careers services, extracurricular activities and unpaid work, and explores post-university experience of employment. Stage 4 focuses on transitions after university and there are also some insightful working papers resulting from findings on themes such as #2 ‘</w:t>
      </w:r>
      <w:r w:rsidRPr="00910768">
        <w:rPr>
          <w:rFonts w:ascii="Arial" w:hAnsi="Arial" w:cs="Arial"/>
        </w:rPr>
        <w:t>Job search strategies and employment preferences of higher education students’</w:t>
      </w:r>
      <w:r w:rsidRPr="00910768">
        <w:rPr>
          <w:rFonts w:ascii="Arial" w:eastAsiaTheme="minorEastAsia" w:hAnsi="Arial" w:cs="Arial"/>
        </w:rPr>
        <w:t xml:space="preserve"> and #4 ‘</w:t>
      </w:r>
      <w:r w:rsidRPr="00910768">
        <w:rPr>
          <w:rFonts w:ascii="Arial" w:hAnsi="Arial" w:cs="Arial"/>
        </w:rPr>
        <w:t xml:space="preserve">Final year students’ perceptions of the skills they have to offer and the skills employers seek’. </w:t>
      </w:r>
      <w:hyperlink r:id="rId12" w:history="1">
        <w:r w:rsidR="00B8498C" w:rsidRPr="00910768">
          <w:rPr>
            <w:rStyle w:val="Hyperlink"/>
            <w:rFonts w:ascii="Arial" w:hAnsi="Arial" w:cs="Arial"/>
          </w:rPr>
          <w:t>https://warwick.ac.uk/fac/soc/ier/futuretrack/findings/</w:t>
        </w:r>
      </w:hyperlink>
    </w:p>
    <w:p w:rsidR="048112EB" w:rsidRPr="00910768" w:rsidRDefault="02774E31" w:rsidP="02774E31">
      <w:pPr>
        <w:pStyle w:val="ListParagraph"/>
        <w:numPr>
          <w:ilvl w:val="0"/>
          <w:numId w:val="9"/>
        </w:numPr>
        <w:rPr>
          <w:rFonts w:ascii="Arial" w:hAnsi="Arial" w:cs="Arial"/>
          <w:i/>
          <w:iCs/>
        </w:rPr>
      </w:pPr>
      <w:r w:rsidRPr="00910768">
        <w:rPr>
          <w:rFonts w:ascii="Arial" w:hAnsi="Arial" w:cs="Arial"/>
          <w:i/>
          <w:iCs/>
        </w:rPr>
        <w:t xml:space="preserve">Resources and Readiness: the graduate capital perspective as a new approach to graduate employability – Tomlinson, M et al (20117). </w:t>
      </w:r>
      <w:r w:rsidRPr="00910768">
        <w:rPr>
          <w:rFonts w:ascii="Arial" w:hAnsi="Arial" w:cs="Arial"/>
        </w:rPr>
        <w:t xml:space="preserve">This article </w:t>
      </w:r>
      <w:r w:rsidRPr="00910768">
        <w:rPr>
          <w:rFonts w:ascii="Arial" w:eastAsia="Cambria" w:hAnsi="Arial" w:cs="Arial"/>
        </w:rPr>
        <w:t xml:space="preserve">outlines a graduate capital model that develops a broad, holistic and conceptual understanding of graduate employability that includes five forms of capital (human, social, cultural, identity and psychological). These interact and their deployment plays a significant role in shaping graduates' transitional experiences and early employment outcomes. It suggests practical actions to enhance these forms of capital to help students engage in employability development and emerging career formation fairly early, to help ease the transition to graduate employment. </w:t>
      </w:r>
      <w:hyperlink r:id="rId13">
        <w:r w:rsidRPr="00910768">
          <w:rPr>
            <w:rStyle w:val="Hyperlink"/>
            <w:rFonts w:ascii="Arial" w:eastAsia="Calibri" w:hAnsi="Arial" w:cs="Arial"/>
          </w:rPr>
          <w:t>https://eprints.soton.ac.uk/410997/</w:t>
        </w:r>
      </w:hyperlink>
    </w:p>
    <w:p w:rsidR="02774E31" w:rsidRPr="00910768" w:rsidRDefault="02774E31" w:rsidP="02774E31">
      <w:pPr>
        <w:pStyle w:val="ListParagraph"/>
        <w:numPr>
          <w:ilvl w:val="0"/>
          <w:numId w:val="9"/>
        </w:numPr>
        <w:rPr>
          <w:rFonts w:ascii="Arial" w:hAnsi="Arial" w:cs="Arial"/>
        </w:rPr>
      </w:pPr>
      <w:r w:rsidRPr="00910768">
        <w:rPr>
          <w:rFonts w:ascii="Arial" w:eastAsia="Cambria" w:hAnsi="Arial" w:cs="Arial"/>
          <w:i/>
          <w:iCs/>
        </w:rPr>
        <w:t xml:space="preserve">Planning for success: Graduates' career planning and its effect on graduate outcomes – </w:t>
      </w:r>
      <w:proofErr w:type="spellStart"/>
      <w:r w:rsidRPr="00910768">
        <w:rPr>
          <w:rFonts w:ascii="Arial" w:eastAsia="Cambria" w:hAnsi="Arial" w:cs="Arial"/>
          <w:i/>
          <w:iCs/>
        </w:rPr>
        <w:t>Shury</w:t>
      </w:r>
      <w:proofErr w:type="spellEnd"/>
      <w:r w:rsidRPr="00910768">
        <w:rPr>
          <w:rFonts w:ascii="Arial" w:eastAsia="Cambria" w:hAnsi="Arial" w:cs="Arial"/>
          <w:i/>
          <w:iCs/>
        </w:rPr>
        <w:t>, J. et al (2017)</w:t>
      </w:r>
      <w:r w:rsidRPr="00910768">
        <w:rPr>
          <w:rFonts w:ascii="Arial" w:eastAsia="Cambria" w:hAnsi="Arial" w:cs="Arial"/>
        </w:rPr>
        <w:t xml:space="preserve">. A </w:t>
      </w:r>
      <w:r w:rsidRPr="00910768">
        <w:rPr>
          <w:rFonts w:ascii="Arial" w:hAnsi="Arial" w:cs="Arial"/>
        </w:rPr>
        <w:t xml:space="preserve">study commissioned by the Department of Education that examines a cohort of students (75,000 from 27 institutions), who completed their full-time undergraduate study in 2011/12. It found that the three factors guiding graduates to a positive outcome were </w:t>
      </w:r>
      <w:proofErr w:type="spellStart"/>
      <w:r w:rsidRPr="00910768">
        <w:rPr>
          <w:rFonts w:ascii="Arial" w:hAnsi="Arial" w:cs="Arial"/>
        </w:rPr>
        <w:t>i</w:t>
      </w:r>
      <w:proofErr w:type="spellEnd"/>
      <w:r w:rsidRPr="00910768">
        <w:rPr>
          <w:rFonts w:ascii="Arial" w:hAnsi="Arial" w:cs="Arial"/>
        </w:rPr>
        <w:t>) undertaking paid part time work experience whilst studying ii) focusing future job search exclusively on graduate level roles and applying early and iii) having a career plan upon leaving university (either a specific role or a good idea of the types of roles).</w:t>
      </w:r>
    </w:p>
    <w:p w:rsidR="048112EB" w:rsidRPr="00910768" w:rsidRDefault="02774E31" w:rsidP="02774E31">
      <w:pPr>
        <w:pStyle w:val="ListParagraph"/>
        <w:numPr>
          <w:ilvl w:val="0"/>
          <w:numId w:val="9"/>
        </w:numPr>
        <w:rPr>
          <w:rFonts w:ascii="Arial" w:hAnsi="Arial" w:cs="Arial"/>
          <w:i/>
          <w:iCs/>
        </w:rPr>
      </w:pPr>
      <w:r w:rsidRPr="00910768">
        <w:rPr>
          <w:rFonts w:ascii="Arial" w:hAnsi="Arial" w:cs="Arial"/>
          <w:i/>
          <w:iCs/>
        </w:rPr>
        <w:t xml:space="preserve">Uncertain transition: exploring the experience of recent graduates – Christie, Fiona (2018). </w:t>
      </w:r>
      <w:r w:rsidRPr="00910768">
        <w:rPr>
          <w:rFonts w:ascii="Arial" w:eastAsiaTheme="minorEastAsia" w:hAnsi="Arial" w:cs="Arial"/>
        </w:rPr>
        <w:t xml:space="preserve">A HECSU funded practitioner research project at </w:t>
      </w:r>
      <w:proofErr w:type="spellStart"/>
      <w:r w:rsidRPr="00910768">
        <w:rPr>
          <w:rFonts w:ascii="Arial" w:eastAsiaTheme="minorEastAsia" w:hAnsi="Arial" w:cs="Arial"/>
        </w:rPr>
        <w:t>Salford</w:t>
      </w:r>
      <w:proofErr w:type="spellEnd"/>
      <w:r w:rsidRPr="00910768">
        <w:rPr>
          <w:rFonts w:ascii="Arial" w:eastAsiaTheme="minorEastAsia" w:hAnsi="Arial" w:cs="Arial"/>
        </w:rPr>
        <w:t xml:space="preserve"> University providing an insight into the early careers of arts, creative arts and humanities graduates, with a focus on those who experienced some difficulty/uncertainty in getting their career underway. It identifies issues they face, decision making styles and support needed. It also explores how social background and attitude can affect career attitudes.</w:t>
      </w:r>
      <w:r w:rsidRPr="00910768">
        <w:rPr>
          <w:rFonts w:ascii="Arial" w:hAnsi="Arial" w:cs="Arial"/>
          <w:i/>
          <w:iCs/>
        </w:rPr>
        <w:t xml:space="preserve"> </w:t>
      </w:r>
      <w:hyperlink r:id="rId14">
        <w:r w:rsidRPr="00910768">
          <w:rPr>
            <w:rStyle w:val="Hyperlink"/>
            <w:rFonts w:ascii="Arial" w:hAnsi="Arial" w:cs="Arial"/>
          </w:rPr>
          <w:t>https://luminate.prospects.ac.uk/what-factors-contribute-to-a-successful-graduate-transition</w:t>
        </w:r>
      </w:hyperlink>
    </w:p>
    <w:p w:rsidR="048112EB" w:rsidRPr="00910768" w:rsidRDefault="02774E31" w:rsidP="02774E31">
      <w:pPr>
        <w:pStyle w:val="ListParagraph"/>
        <w:numPr>
          <w:ilvl w:val="0"/>
          <w:numId w:val="9"/>
        </w:numPr>
        <w:rPr>
          <w:rFonts w:ascii="Arial" w:hAnsi="Arial" w:cs="Arial"/>
          <w:i/>
          <w:iCs/>
          <w:color w:val="0563C1"/>
        </w:rPr>
      </w:pPr>
      <w:r w:rsidRPr="00910768">
        <w:rPr>
          <w:rFonts w:ascii="Arial" w:hAnsi="Arial" w:cs="Arial"/>
          <w:i/>
          <w:iCs/>
        </w:rPr>
        <w:t xml:space="preserve">Why do some first year students not know how to start career planning despite wanting to? - Kerley, Laura (2018). </w:t>
      </w:r>
      <w:r w:rsidRPr="00910768">
        <w:rPr>
          <w:rFonts w:ascii="Arial" w:eastAsiaTheme="minorEastAsia" w:hAnsi="Arial" w:cs="Arial"/>
        </w:rPr>
        <w:t xml:space="preserve">A HECSU funded practitioner qualitative research project focusing on hesitant students from three different Social Science and Humanities </w:t>
      </w:r>
      <w:proofErr w:type="spellStart"/>
      <w:r w:rsidRPr="00910768">
        <w:rPr>
          <w:rFonts w:ascii="Arial" w:eastAsiaTheme="minorEastAsia" w:hAnsi="Arial" w:cs="Arial"/>
        </w:rPr>
        <w:t>programmes</w:t>
      </w:r>
      <w:proofErr w:type="spellEnd"/>
      <w:r w:rsidRPr="00910768">
        <w:rPr>
          <w:rFonts w:ascii="Arial" w:eastAsiaTheme="minorEastAsia" w:hAnsi="Arial" w:cs="Arial"/>
        </w:rPr>
        <w:t xml:space="preserve">. It explores students’ perceptions of career planning, work experience and careers/employability support; confidence levels; and the role of careers information. It suggests some practical actions to bust misperceptions and engage students earlier. </w:t>
      </w:r>
      <w:hyperlink r:id="rId15">
        <w:r w:rsidRPr="00910768">
          <w:rPr>
            <w:rStyle w:val="Hyperlink"/>
            <w:rFonts w:ascii="Arial" w:hAnsi="Arial" w:cs="Arial"/>
          </w:rPr>
          <w:t>https://luminate.prospects.ac.uk/exploring-hesitant-students-perceptions-of-career-planning</w:t>
        </w:r>
      </w:hyperlink>
    </w:p>
    <w:p w:rsidR="2956FB9C" w:rsidRPr="00910768" w:rsidRDefault="2956FB9C" w:rsidP="2956FB9C">
      <w:pPr>
        <w:pStyle w:val="ListParagraph"/>
        <w:numPr>
          <w:ilvl w:val="0"/>
          <w:numId w:val="9"/>
        </w:numPr>
        <w:rPr>
          <w:rFonts w:ascii="Arial" w:hAnsi="Arial" w:cs="Arial"/>
          <w:i/>
          <w:iCs/>
        </w:rPr>
      </w:pPr>
      <w:r w:rsidRPr="00910768">
        <w:rPr>
          <w:rFonts w:ascii="Arial" w:eastAsiaTheme="minorEastAsia" w:hAnsi="Arial" w:cs="Arial"/>
          <w:i/>
          <w:iCs/>
        </w:rPr>
        <w:t xml:space="preserve">Student Resilience: Exploring the positive case for resilience - McIntosh, E., &amp; Shaw, J. (2017). </w:t>
      </w:r>
      <w:r w:rsidRPr="00910768">
        <w:rPr>
          <w:rFonts w:ascii="Arial" w:eastAsiaTheme="minorEastAsia" w:hAnsi="Arial" w:cs="Arial"/>
        </w:rPr>
        <w:t>Drawing on a survey of 6,500 students, this</w:t>
      </w:r>
      <w:r w:rsidRPr="00910768">
        <w:rPr>
          <w:rFonts w:ascii="Arial" w:eastAsiaTheme="minorEastAsia" w:hAnsi="Arial" w:cs="Arial"/>
          <w:i/>
          <w:iCs/>
        </w:rPr>
        <w:t xml:space="preserve"> </w:t>
      </w:r>
      <w:r w:rsidRPr="00910768">
        <w:rPr>
          <w:rFonts w:ascii="Arial" w:eastAsiaTheme="minorEastAsia" w:hAnsi="Arial" w:cs="Arial"/>
        </w:rPr>
        <w:t>a</w:t>
      </w:r>
      <w:r w:rsidRPr="00910768">
        <w:rPr>
          <w:rFonts w:ascii="Arial" w:eastAsia="Cambria" w:hAnsi="Arial" w:cs="Arial"/>
        </w:rPr>
        <w:t xml:space="preserve">rgues that the development of resilience could be a key consideration in understanding student transitions, particularly across the first year of study and preparation for graduation. It recognizes the importance of both general and career planning, as well as goal setting in the positive development of student resilience. They also argue that the language used in student communications should be nuanced to reflect the key characteristics of resilience, so as to </w:t>
      </w:r>
      <w:proofErr w:type="spellStart"/>
      <w:r w:rsidRPr="00910768">
        <w:rPr>
          <w:rFonts w:ascii="Arial" w:eastAsia="Cambria" w:hAnsi="Arial" w:cs="Arial"/>
        </w:rPr>
        <w:t>normalise</w:t>
      </w:r>
      <w:proofErr w:type="spellEnd"/>
      <w:r w:rsidRPr="00910768">
        <w:rPr>
          <w:rFonts w:ascii="Arial" w:eastAsia="Cambria" w:hAnsi="Arial" w:cs="Arial"/>
        </w:rPr>
        <w:t xml:space="preserve"> uncertainty, risk taking and the importance of failure. </w:t>
      </w:r>
      <w:hyperlink r:id="rId16">
        <w:r w:rsidRPr="00910768">
          <w:rPr>
            <w:rStyle w:val="Hyperlink"/>
            <w:rFonts w:ascii="Arial" w:hAnsi="Arial" w:cs="Arial"/>
          </w:rPr>
          <w:t>http://www.unite-group.co.uk/universities/student-resilience-exploring-positive-case-resilience</w:t>
        </w:r>
      </w:hyperlink>
    </w:p>
    <w:p w:rsidR="00B8498C" w:rsidRPr="00910768" w:rsidRDefault="02774E31" w:rsidP="00B8498C">
      <w:pPr>
        <w:pStyle w:val="ListParagraph"/>
        <w:numPr>
          <w:ilvl w:val="0"/>
          <w:numId w:val="9"/>
        </w:numPr>
        <w:rPr>
          <w:rFonts w:ascii="Arial" w:hAnsi="Arial" w:cs="Arial"/>
          <w:i/>
          <w:iCs/>
        </w:rPr>
      </w:pPr>
      <w:r w:rsidRPr="00910768">
        <w:rPr>
          <w:rFonts w:ascii="Arial" w:eastAsia="Calibri" w:hAnsi="Arial" w:cs="Arial"/>
          <w:i/>
          <w:iCs/>
        </w:rPr>
        <w:t xml:space="preserve">Who wins the rat race? Social justice and the graduate </w:t>
      </w:r>
      <w:proofErr w:type="spellStart"/>
      <w:r w:rsidRPr="00910768">
        <w:rPr>
          <w:rFonts w:ascii="Arial" w:eastAsia="Calibri" w:hAnsi="Arial" w:cs="Arial"/>
          <w:i/>
          <w:iCs/>
        </w:rPr>
        <w:t>labour</w:t>
      </w:r>
      <w:proofErr w:type="spellEnd"/>
      <w:r w:rsidRPr="00910768">
        <w:rPr>
          <w:rFonts w:ascii="Arial" w:eastAsia="Calibri" w:hAnsi="Arial" w:cs="Arial"/>
          <w:i/>
          <w:iCs/>
        </w:rPr>
        <w:t xml:space="preserve"> market – Hooley, Tristram (2015).</w:t>
      </w:r>
      <w:r w:rsidRPr="00910768">
        <w:rPr>
          <w:rFonts w:ascii="Arial" w:eastAsia="Calibri" w:hAnsi="Arial" w:cs="Arial"/>
        </w:rPr>
        <w:t xml:space="preserve"> An article that presents the case for a serious injection of ethics and politics into careers guidance practice to help tackle inequalities in the graduate </w:t>
      </w:r>
      <w:proofErr w:type="spellStart"/>
      <w:r w:rsidRPr="00910768">
        <w:rPr>
          <w:rFonts w:ascii="Arial" w:eastAsia="Calibri" w:hAnsi="Arial" w:cs="Arial"/>
        </w:rPr>
        <w:t>labour</w:t>
      </w:r>
      <w:proofErr w:type="spellEnd"/>
      <w:r w:rsidRPr="00910768">
        <w:rPr>
          <w:rFonts w:ascii="Arial" w:eastAsia="Calibri" w:hAnsi="Arial" w:cs="Arial"/>
        </w:rPr>
        <w:t xml:space="preserve"> market. </w:t>
      </w:r>
      <w:hyperlink r:id="rId17">
        <w:r w:rsidRPr="00910768">
          <w:rPr>
            <w:rStyle w:val="Hyperlink"/>
            <w:rFonts w:ascii="Arial" w:eastAsia="Calibri" w:hAnsi="Arial" w:cs="Arial"/>
          </w:rPr>
          <w:t>https://derby.openrepository.com/bitstream/handle/10545/581890/who+wins+the+rat+race.pdf?sequence=1</w:t>
        </w:r>
      </w:hyperlink>
      <w:r w:rsidRPr="00910768">
        <w:rPr>
          <w:rFonts w:ascii="Arial" w:eastAsia="Calibri" w:hAnsi="Arial" w:cs="Arial"/>
        </w:rPr>
        <w:t xml:space="preserve"> -</w:t>
      </w:r>
    </w:p>
    <w:p w:rsidR="00B8498C" w:rsidRPr="00910768" w:rsidRDefault="00B8498C" w:rsidP="00B8498C">
      <w:pPr>
        <w:pStyle w:val="ListParagraph"/>
        <w:rPr>
          <w:rFonts w:ascii="Arial" w:eastAsia="Calibri" w:hAnsi="Arial" w:cs="Arial"/>
          <w:i/>
          <w:iCs/>
        </w:rPr>
      </w:pPr>
    </w:p>
    <w:p w:rsidR="048112EB" w:rsidRPr="00910768" w:rsidRDefault="02774E31" w:rsidP="00B8498C">
      <w:pPr>
        <w:pStyle w:val="ListParagraph"/>
        <w:ind w:left="0"/>
        <w:rPr>
          <w:rFonts w:ascii="Arial" w:hAnsi="Arial" w:cs="Arial"/>
          <w:b/>
          <w:bCs/>
        </w:rPr>
      </w:pPr>
      <w:r w:rsidRPr="00910768">
        <w:rPr>
          <w:rFonts w:ascii="Arial" w:hAnsi="Arial" w:cs="Arial"/>
          <w:b/>
          <w:bCs/>
        </w:rPr>
        <w:t>What employers look for and recruitment/selection</w:t>
      </w:r>
    </w:p>
    <w:p w:rsidR="00B63CE0" w:rsidRPr="00910768" w:rsidRDefault="00B63CE0" w:rsidP="00B8498C">
      <w:pPr>
        <w:pStyle w:val="ListParagraph"/>
        <w:ind w:left="0"/>
        <w:rPr>
          <w:rFonts w:ascii="Arial" w:hAnsi="Arial" w:cs="Arial"/>
          <w:i/>
          <w:iCs/>
        </w:rPr>
      </w:pPr>
    </w:p>
    <w:p w:rsidR="39BA3DAB" w:rsidRPr="00910768" w:rsidRDefault="02774E31" w:rsidP="3ED0DE78">
      <w:pPr>
        <w:pStyle w:val="ListParagraph"/>
        <w:numPr>
          <w:ilvl w:val="0"/>
          <w:numId w:val="1"/>
        </w:numPr>
        <w:rPr>
          <w:rFonts w:ascii="Arial" w:hAnsi="Arial" w:cs="Arial"/>
          <w:b/>
          <w:bCs/>
        </w:rPr>
      </w:pPr>
      <w:r w:rsidRPr="00910768">
        <w:rPr>
          <w:rFonts w:ascii="Arial" w:hAnsi="Arial" w:cs="Arial"/>
          <w:i/>
          <w:iCs/>
        </w:rPr>
        <w:t xml:space="preserve">What employers want in a CV – Simkin, B and Coney, K (2019). </w:t>
      </w:r>
      <w:r w:rsidRPr="00910768">
        <w:rPr>
          <w:rFonts w:ascii="Arial" w:hAnsi="Arial" w:cs="Arial"/>
        </w:rPr>
        <w:t xml:space="preserve">A HECSU funded practitioner research project. Findings include the importance of using appropriate key words and a growing preference for writing in the first person. </w:t>
      </w:r>
      <w:hyperlink r:id="rId18">
        <w:r w:rsidRPr="00910768">
          <w:rPr>
            <w:rStyle w:val="Hyperlink"/>
            <w:rFonts w:ascii="Arial" w:hAnsi="Arial" w:cs="Arial"/>
          </w:rPr>
          <w:t>https://luminate.prospects.ac.uk/what-employers-want-in-a-cv</w:t>
        </w:r>
      </w:hyperlink>
    </w:p>
    <w:p w:rsidR="39BA3DAB" w:rsidRPr="00910768" w:rsidRDefault="3ED0DE78" w:rsidP="3ED0DE78">
      <w:pPr>
        <w:rPr>
          <w:rFonts w:ascii="Arial" w:hAnsi="Arial" w:cs="Arial"/>
          <w:b/>
          <w:bCs/>
        </w:rPr>
      </w:pPr>
      <w:proofErr w:type="spellStart"/>
      <w:r w:rsidRPr="00910768">
        <w:rPr>
          <w:rFonts w:ascii="Arial" w:hAnsi="Arial" w:cs="Arial"/>
          <w:b/>
          <w:bCs/>
        </w:rPr>
        <w:t>Labour</w:t>
      </w:r>
      <w:proofErr w:type="spellEnd"/>
      <w:r w:rsidRPr="00910768">
        <w:rPr>
          <w:rFonts w:ascii="Arial" w:hAnsi="Arial" w:cs="Arial"/>
          <w:b/>
          <w:bCs/>
        </w:rPr>
        <w:t xml:space="preserve"> Market Information and Intelligence</w:t>
      </w:r>
    </w:p>
    <w:p w:rsidR="3ED0DE78" w:rsidRPr="00910768" w:rsidRDefault="02774E31" w:rsidP="02774E31">
      <w:pPr>
        <w:pStyle w:val="ListParagraph"/>
        <w:numPr>
          <w:ilvl w:val="0"/>
          <w:numId w:val="6"/>
        </w:numPr>
        <w:rPr>
          <w:rFonts w:ascii="Arial" w:hAnsi="Arial" w:cs="Arial"/>
          <w:i/>
          <w:iCs/>
          <w:color w:val="000000" w:themeColor="text1"/>
        </w:rPr>
      </w:pPr>
      <w:r w:rsidRPr="00910768">
        <w:rPr>
          <w:rFonts w:ascii="Arial" w:eastAsiaTheme="minorEastAsia" w:hAnsi="Arial" w:cs="Arial"/>
          <w:i/>
          <w:iCs/>
        </w:rPr>
        <w:t>What do graduates do? 2018/19.</w:t>
      </w:r>
      <w:r w:rsidRPr="00910768">
        <w:rPr>
          <w:rFonts w:ascii="Arial" w:eastAsiaTheme="minorEastAsia" w:hAnsi="Arial" w:cs="Arial"/>
        </w:rPr>
        <w:t xml:space="preserve"> It examines first-degree graduate destinations six months after graduation. The data is from the Higher Education Statistics Agency's </w:t>
      </w:r>
      <w:r w:rsidRPr="00910768">
        <w:rPr>
          <w:rFonts w:ascii="Arial" w:eastAsiaTheme="minorEastAsia" w:hAnsi="Arial" w:cs="Arial"/>
          <w:i/>
          <w:iCs/>
        </w:rPr>
        <w:t>Destinations of Leavers from Higher Education</w:t>
      </w:r>
      <w:r w:rsidRPr="00910768">
        <w:rPr>
          <w:rFonts w:ascii="Arial" w:eastAsiaTheme="minorEastAsia" w:hAnsi="Arial" w:cs="Arial"/>
        </w:rPr>
        <w:t xml:space="preserve"> (DLHE) 2016/17 survey and is produced by Prospects and AGCAS on behalf of HECSU. It also includes a useful overview of the graduate </w:t>
      </w:r>
      <w:proofErr w:type="spellStart"/>
      <w:r w:rsidRPr="00910768">
        <w:rPr>
          <w:rFonts w:ascii="Arial" w:eastAsiaTheme="minorEastAsia" w:hAnsi="Arial" w:cs="Arial"/>
        </w:rPr>
        <w:t>labour</w:t>
      </w:r>
      <w:proofErr w:type="spellEnd"/>
      <w:r w:rsidRPr="00910768">
        <w:rPr>
          <w:rFonts w:ascii="Arial" w:eastAsiaTheme="minorEastAsia" w:hAnsi="Arial" w:cs="Arial"/>
        </w:rPr>
        <w:t xml:space="preserve"> market, insight articles and detailed subject overviews.  </w:t>
      </w:r>
      <w:hyperlink r:id="rId19">
        <w:r w:rsidRPr="00910768">
          <w:rPr>
            <w:rStyle w:val="Hyperlink"/>
            <w:rFonts w:ascii="Arial" w:hAnsi="Arial" w:cs="Arial"/>
          </w:rPr>
          <w:t>https://luminate.prospects.ac.uk/what-do-graduates-do</w:t>
        </w:r>
      </w:hyperlink>
    </w:p>
    <w:p w:rsidR="02774E31" w:rsidRPr="00910768" w:rsidRDefault="02774E31" w:rsidP="02774E31">
      <w:pPr>
        <w:pStyle w:val="ListParagraph"/>
        <w:numPr>
          <w:ilvl w:val="0"/>
          <w:numId w:val="6"/>
        </w:numPr>
        <w:rPr>
          <w:rFonts w:ascii="Arial" w:hAnsi="Arial" w:cs="Arial"/>
        </w:rPr>
      </w:pPr>
      <w:r w:rsidRPr="00910768">
        <w:rPr>
          <w:rFonts w:ascii="Arial" w:hAnsi="Arial" w:cs="Arial"/>
          <w:i/>
          <w:iCs/>
        </w:rPr>
        <w:t>The Graduate Market in 2019 - High Flyers Research (2018)</w:t>
      </w:r>
      <w:r w:rsidRPr="00910768">
        <w:rPr>
          <w:rFonts w:ascii="Arial" w:hAnsi="Arial" w:cs="Arial"/>
        </w:rPr>
        <w:t xml:space="preserve"> is a study of the latest graduate vacancies, student internships and work placements at the Times Top 100 Graduate Employers, conducted annually. It looks at the data for the preceding year and also makes predictions about the following year. Each section has a nifty summary - </w:t>
      </w:r>
      <w:hyperlink r:id="rId20">
        <w:r w:rsidRPr="00910768">
          <w:rPr>
            <w:rStyle w:val="Hyperlink"/>
            <w:rFonts w:ascii="Arial" w:hAnsi="Arial" w:cs="Arial"/>
          </w:rPr>
          <w:t>https://www.highfliers.co.uk/</w:t>
        </w:r>
      </w:hyperlink>
    </w:p>
    <w:p w:rsidR="02774E31" w:rsidRPr="00910768" w:rsidRDefault="02774E31" w:rsidP="02774E31">
      <w:pPr>
        <w:pStyle w:val="ListParagraph"/>
        <w:numPr>
          <w:ilvl w:val="0"/>
          <w:numId w:val="6"/>
        </w:numPr>
        <w:rPr>
          <w:rFonts w:ascii="Arial" w:hAnsi="Arial" w:cs="Arial"/>
          <w:i/>
          <w:iCs/>
          <w:color w:val="515151"/>
          <w:sz w:val="19"/>
          <w:szCs w:val="19"/>
        </w:rPr>
      </w:pPr>
      <w:r w:rsidRPr="00910768">
        <w:rPr>
          <w:rFonts w:ascii="Arial" w:eastAsiaTheme="minorEastAsia" w:hAnsi="Arial" w:cs="Arial"/>
          <w:i/>
          <w:iCs/>
        </w:rPr>
        <w:t xml:space="preserve">Pay as you go? Internship pay, quality and access in the graduate jobs market - Cullinane, C and </w:t>
      </w:r>
      <w:proofErr w:type="spellStart"/>
      <w:r w:rsidRPr="00910768">
        <w:rPr>
          <w:rFonts w:ascii="Arial" w:eastAsiaTheme="minorEastAsia" w:hAnsi="Arial" w:cs="Arial"/>
          <w:i/>
          <w:iCs/>
        </w:rPr>
        <w:t>Montacute</w:t>
      </w:r>
      <w:proofErr w:type="spellEnd"/>
      <w:r w:rsidRPr="00910768">
        <w:rPr>
          <w:rFonts w:ascii="Arial" w:eastAsiaTheme="minorEastAsia" w:hAnsi="Arial" w:cs="Arial"/>
          <w:i/>
          <w:iCs/>
        </w:rPr>
        <w:t xml:space="preserve">, R (Sutton Trust, 2018). </w:t>
      </w:r>
      <w:r w:rsidRPr="00910768">
        <w:rPr>
          <w:rFonts w:ascii="Arial" w:eastAsiaTheme="minorEastAsia" w:hAnsi="Arial" w:cs="Arial"/>
        </w:rPr>
        <w:t xml:space="preserve">This report draws on a graduate and employer survey to </w:t>
      </w:r>
      <w:proofErr w:type="spellStart"/>
      <w:r w:rsidRPr="00910768">
        <w:rPr>
          <w:rFonts w:ascii="Arial" w:eastAsiaTheme="minorEastAsia" w:hAnsi="Arial" w:cs="Arial"/>
        </w:rPr>
        <w:t>analyse</w:t>
      </w:r>
      <w:proofErr w:type="spellEnd"/>
      <w:r w:rsidRPr="00910768">
        <w:rPr>
          <w:rFonts w:ascii="Arial" w:eastAsiaTheme="minorEastAsia" w:hAnsi="Arial" w:cs="Arial"/>
        </w:rPr>
        <w:t xml:space="preserve"> graduate internship pay, access and quality, offering recommendations on how we can ensure the best internships are open to all young people, regardless of their background.</w:t>
      </w:r>
      <w:r w:rsidRPr="00910768">
        <w:rPr>
          <w:rFonts w:ascii="Arial" w:eastAsia="Tahoma" w:hAnsi="Arial" w:cs="Arial"/>
          <w:color w:val="515151"/>
          <w:sz w:val="19"/>
          <w:szCs w:val="19"/>
        </w:rPr>
        <w:t xml:space="preserve"> </w:t>
      </w:r>
      <w:hyperlink r:id="rId21">
        <w:r w:rsidRPr="00910768">
          <w:rPr>
            <w:rStyle w:val="Hyperlink"/>
            <w:rFonts w:ascii="Arial" w:hAnsi="Arial" w:cs="Arial"/>
          </w:rPr>
          <w:t>https://www.suttontrust.com/research-paper/internships-pay-as-you-go/</w:t>
        </w:r>
      </w:hyperlink>
    </w:p>
    <w:p w:rsidR="39BA3DAB" w:rsidRPr="00910768" w:rsidRDefault="048112EB" w:rsidP="3ED0DE78">
      <w:pPr>
        <w:pStyle w:val="ListParagraph"/>
        <w:numPr>
          <w:ilvl w:val="0"/>
          <w:numId w:val="6"/>
        </w:numPr>
        <w:rPr>
          <w:rFonts w:ascii="Arial" w:hAnsi="Arial" w:cs="Arial"/>
          <w:i/>
          <w:iCs/>
          <w:color w:val="0B0C0C"/>
        </w:rPr>
      </w:pPr>
      <w:r w:rsidRPr="00910768">
        <w:rPr>
          <w:rFonts w:ascii="Arial" w:eastAsiaTheme="minorEastAsia" w:hAnsi="Arial" w:cs="Arial"/>
          <w:i/>
          <w:iCs/>
        </w:rPr>
        <w:t xml:space="preserve">Current and future demand for digital skills: a call to action </w:t>
      </w:r>
      <w:r w:rsidRPr="00910768">
        <w:rPr>
          <w:rFonts w:ascii="Arial" w:hAnsi="Arial" w:cs="Arial"/>
          <w:color w:val="0B0C0C"/>
        </w:rPr>
        <w:t xml:space="preserve">– </w:t>
      </w:r>
      <w:r w:rsidRPr="00910768">
        <w:rPr>
          <w:rFonts w:ascii="Arial" w:hAnsi="Arial" w:cs="Arial"/>
          <w:i/>
          <w:iCs/>
          <w:color w:val="0B0C0C"/>
        </w:rPr>
        <w:t>Department for Digital, Media, Culture and Sport (2019).</w:t>
      </w:r>
      <w:r w:rsidRPr="00910768">
        <w:rPr>
          <w:rFonts w:ascii="Arial" w:eastAsiaTheme="minorEastAsia" w:hAnsi="Arial" w:cs="Arial"/>
          <w:color w:val="0B0C0C"/>
        </w:rPr>
        <w:t xml:space="preserve">Two pieces of research examining current demand for digital skills in the UK job market, and looking at the digital skills needed to succeed now and in the next 10 years- </w:t>
      </w:r>
      <w:hyperlink r:id="rId22">
        <w:r w:rsidRPr="00910768">
          <w:rPr>
            <w:rStyle w:val="Hyperlink"/>
            <w:rFonts w:ascii="Arial" w:eastAsiaTheme="minorEastAsia" w:hAnsi="Arial" w:cs="Arial"/>
          </w:rPr>
          <w:t>https://www.gov.uk/government/publications/current-and-future-demand-for-digital-skills-in-the-workplace</w:t>
        </w:r>
      </w:hyperlink>
    </w:p>
    <w:p w:rsidR="39BA3DAB" w:rsidRPr="00910768" w:rsidRDefault="048112EB" w:rsidP="048112EB">
      <w:pPr>
        <w:rPr>
          <w:rFonts w:ascii="Arial" w:eastAsia="Calibri" w:hAnsi="Arial" w:cs="Arial"/>
          <w:b/>
          <w:bCs/>
        </w:rPr>
      </w:pPr>
      <w:r w:rsidRPr="00910768">
        <w:rPr>
          <w:rFonts w:ascii="Arial" w:eastAsia="Calibri" w:hAnsi="Arial" w:cs="Arial"/>
          <w:b/>
          <w:bCs/>
        </w:rPr>
        <w:t>Curriculum Design</w:t>
      </w:r>
    </w:p>
    <w:p w:rsidR="048112EB" w:rsidRPr="00910768" w:rsidRDefault="02774E31" w:rsidP="02774E31">
      <w:pPr>
        <w:pStyle w:val="ListParagraph"/>
        <w:numPr>
          <w:ilvl w:val="0"/>
          <w:numId w:val="4"/>
        </w:numPr>
        <w:rPr>
          <w:rFonts w:ascii="Arial" w:hAnsi="Arial" w:cs="Arial"/>
        </w:rPr>
      </w:pPr>
      <w:r w:rsidRPr="00910768">
        <w:rPr>
          <w:rFonts w:ascii="Arial" w:hAnsi="Arial" w:cs="Arial"/>
          <w:i/>
          <w:iCs/>
        </w:rPr>
        <w:t xml:space="preserve">What’s the best way to teach employability? - Standage, Helen (2018). </w:t>
      </w:r>
      <w:r w:rsidRPr="00910768">
        <w:rPr>
          <w:rFonts w:ascii="Arial" w:hAnsi="Arial" w:cs="Arial"/>
        </w:rPr>
        <w:t xml:space="preserve">A HECSU funded practitioner research project </w:t>
      </w:r>
      <w:proofErr w:type="gramStart"/>
      <w:r w:rsidRPr="00910768">
        <w:rPr>
          <w:rFonts w:ascii="Arial" w:hAnsi="Arial" w:cs="Arial"/>
        </w:rPr>
        <w:t>surveying  first</w:t>
      </w:r>
      <w:proofErr w:type="gramEnd"/>
      <w:r w:rsidRPr="00910768">
        <w:rPr>
          <w:rFonts w:ascii="Arial" w:hAnsi="Arial" w:cs="Arial"/>
        </w:rPr>
        <w:t xml:space="preserve"> year Sociology and Literature students who undertook a compulsory credit-bearing employability module. The Sociology students followed a generic module, whereas the Literature students followed a degree-specific approach. Findings were compared across four dependent measures: engagement, achievement, satisfaction and level of work experience. Although no statistically significant differences between the two student groups were found, follow up focus groups had a preference for practical learning and less appreciation for </w:t>
      </w:r>
      <w:r w:rsidRPr="00910768">
        <w:rPr>
          <w:rFonts w:ascii="Arial" w:hAnsi="Arial" w:cs="Arial"/>
          <w:i/>
          <w:iCs/>
        </w:rPr>
        <w:t>intellectual</w:t>
      </w:r>
      <w:r w:rsidRPr="00910768">
        <w:rPr>
          <w:rFonts w:ascii="Arial" w:hAnsi="Arial" w:cs="Arial"/>
        </w:rPr>
        <w:t xml:space="preserve"> linkage to their subject. </w:t>
      </w:r>
      <w:hyperlink r:id="rId23">
        <w:r w:rsidRPr="00910768">
          <w:rPr>
            <w:rStyle w:val="Hyperlink"/>
            <w:rFonts w:ascii="Arial" w:hAnsi="Arial" w:cs="Arial"/>
          </w:rPr>
          <w:t>https://luminate.prospects.ac.uk/whats-the-best-way-to-teach-employability</w:t>
        </w:r>
      </w:hyperlink>
    </w:p>
    <w:p w:rsidR="048112EB" w:rsidRPr="00910768" w:rsidRDefault="02774E31" w:rsidP="02774E31">
      <w:pPr>
        <w:pStyle w:val="ListParagraph"/>
        <w:numPr>
          <w:ilvl w:val="0"/>
          <w:numId w:val="4"/>
        </w:numPr>
        <w:rPr>
          <w:rStyle w:val="Hyperlink"/>
          <w:rFonts w:ascii="Arial" w:hAnsi="Arial" w:cs="Arial"/>
          <w:color w:val="auto"/>
          <w:u w:val="none"/>
        </w:rPr>
      </w:pPr>
      <w:r w:rsidRPr="00910768">
        <w:rPr>
          <w:rFonts w:ascii="Arial" w:eastAsiaTheme="minorEastAsia" w:hAnsi="Arial" w:cs="Arial"/>
          <w:i/>
          <w:iCs/>
        </w:rPr>
        <w:t>How should universities teach employability? - Standage, Helen</w:t>
      </w:r>
      <w:r w:rsidRPr="00910768">
        <w:rPr>
          <w:rFonts w:ascii="Arial" w:eastAsiaTheme="minorEastAsia" w:hAnsi="Arial" w:cs="Arial"/>
        </w:rPr>
        <w:t xml:space="preserve"> </w:t>
      </w:r>
      <w:r w:rsidRPr="00910768">
        <w:rPr>
          <w:rFonts w:ascii="Arial" w:eastAsiaTheme="minorEastAsia" w:hAnsi="Arial" w:cs="Arial"/>
          <w:i/>
          <w:iCs/>
        </w:rPr>
        <w:t xml:space="preserve">(2019). </w:t>
      </w:r>
      <w:r w:rsidRPr="00910768">
        <w:rPr>
          <w:rFonts w:ascii="Arial" w:eastAsiaTheme="minorEastAsia" w:hAnsi="Arial" w:cs="Arial"/>
        </w:rPr>
        <w:t xml:space="preserve">A follow up of the above study, exploring what practical components within employability teaching are appreciated by students. Valued components included aspects of the </w:t>
      </w:r>
      <w:proofErr w:type="spellStart"/>
      <w:r w:rsidRPr="00910768">
        <w:rPr>
          <w:rFonts w:ascii="Arial" w:eastAsiaTheme="minorEastAsia" w:hAnsi="Arial" w:cs="Arial"/>
        </w:rPr>
        <w:t>labour</w:t>
      </w:r>
      <w:proofErr w:type="spellEnd"/>
      <w:r w:rsidRPr="00910768">
        <w:rPr>
          <w:rFonts w:ascii="Arial" w:eastAsiaTheme="minorEastAsia" w:hAnsi="Arial" w:cs="Arial"/>
        </w:rPr>
        <w:t xml:space="preserve"> market relevant to their degree, tips on recruitment and selection, and meeting professionals and employers, which gave them a 'real' insight into professional working life. Students also valued assignments being geared towards a live job/paid work experience.  Who should teach it was less clear. </w:t>
      </w:r>
      <w:hyperlink r:id="rId24">
        <w:r w:rsidRPr="00910768">
          <w:rPr>
            <w:rStyle w:val="Hyperlink"/>
            <w:rFonts w:ascii="Arial" w:eastAsiaTheme="minorEastAsia" w:hAnsi="Arial" w:cs="Arial"/>
          </w:rPr>
          <w:t>https://luminate.prospects.ac.uk/how-should-universities-teach-employability</w:t>
        </w:r>
      </w:hyperlink>
    </w:p>
    <w:p w:rsidR="00B91E13" w:rsidRPr="00910768" w:rsidRDefault="00B91E13" w:rsidP="00B91E13">
      <w:pPr>
        <w:rPr>
          <w:rFonts w:ascii="Arial" w:hAnsi="Arial" w:cs="Arial"/>
          <w:b/>
        </w:rPr>
      </w:pPr>
    </w:p>
    <w:p w:rsidR="00B91E13" w:rsidRPr="00910768" w:rsidRDefault="00B91E13" w:rsidP="00B91E13">
      <w:pPr>
        <w:rPr>
          <w:rFonts w:ascii="Arial" w:hAnsi="Arial" w:cs="Arial"/>
        </w:rPr>
      </w:pPr>
      <w:r w:rsidRPr="00910768">
        <w:rPr>
          <w:rFonts w:ascii="Arial" w:hAnsi="Arial" w:cs="Arial"/>
          <w:b/>
        </w:rPr>
        <w:t>Laura Kerley</w:t>
      </w:r>
      <w:r w:rsidRPr="00910768">
        <w:rPr>
          <w:rFonts w:ascii="Arial" w:hAnsi="Arial" w:cs="Arial"/>
        </w:rPr>
        <w:t>, Employability Adviser, Student and Graduate Employability, BESE</w:t>
      </w:r>
    </w:p>
    <w:p w:rsidR="00B91E13" w:rsidRPr="00910768" w:rsidRDefault="00B91E13" w:rsidP="00B91E13">
      <w:pPr>
        <w:rPr>
          <w:rFonts w:ascii="Arial" w:hAnsi="Arial" w:cs="Arial"/>
          <w:i/>
        </w:rPr>
      </w:pPr>
      <w:r w:rsidRPr="00910768">
        <w:rPr>
          <w:rFonts w:ascii="Arial" w:hAnsi="Arial" w:cs="Arial"/>
          <w:i/>
        </w:rPr>
        <w:t>September 2019</w:t>
      </w:r>
    </w:p>
    <w:p w:rsidR="048112EB" w:rsidRPr="00910768" w:rsidRDefault="048112EB" w:rsidP="048112EB">
      <w:pPr>
        <w:rPr>
          <w:rFonts w:ascii="Arial" w:eastAsia="Calibri" w:hAnsi="Arial" w:cs="Arial"/>
          <w:b/>
          <w:bCs/>
        </w:rPr>
      </w:pPr>
    </w:p>
    <w:p w:rsidR="39BA3DAB" w:rsidRPr="00910768" w:rsidRDefault="39BA3DAB" w:rsidP="3ED0DE78">
      <w:pPr>
        <w:rPr>
          <w:rFonts w:ascii="Arial" w:eastAsiaTheme="minorEastAsia" w:hAnsi="Arial" w:cs="Arial"/>
        </w:rPr>
      </w:pPr>
    </w:p>
    <w:p w:rsidR="39BA3DAB" w:rsidRPr="00910768" w:rsidRDefault="39BA3DAB" w:rsidP="3ED0DE78">
      <w:pPr>
        <w:rPr>
          <w:rFonts w:ascii="Arial" w:eastAsiaTheme="minorEastAsia" w:hAnsi="Arial" w:cs="Arial"/>
        </w:rPr>
      </w:pPr>
    </w:p>
    <w:p w:rsidR="39BA3DAB" w:rsidRPr="00910768" w:rsidRDefault="39BA3DAB" w:rsidP="39BA3DAB">
      <w:pPr>
        <w:rPr>
          <w:rFonts w:ascii="Arial" w:hAnsi="Arial" w:cs="Arial"/>
          <w:b/>
          <w:bCs/>
        </w:rPr>
      </w:pPr>
    </w:p>
    <w:p w:rsidR="39BA3DAB" w:rsidRPr="00910768" w:rsidRDefault="39BA3DAB" w:rsidP="39BA3DAB">
      <w:pPr>
        <w:rPr>
          <w:rFonts w:ascii="Arial" w:hAnsi="Arial" w:cs="Arial"/>
          <w:b/>
          <w:bCs/>
        </w:rPr>
      </w:pPr>
    </w:p>
    <w:p w:rsidR="39BA3DAB" w:rsidRPr="00910768" w:rsidRDefault="39BA3DAB" w:rsidP="39BA3DAB">
      <w:pPr>
        <w:rPr>
          <w:rFonts w:ascii="Arial" w:hAnsi="Arial" w:cs="Arial"/>
          <w:b/>
          <w:bCs/>
        </w:rPr>
      </w:pPr>
    </w:p>
    <w:p w:rsidR="39BA3DAB" w:rsidRPr="00910768" w:rsidRDefault="39BA3DAB" w:rsidP="39BA3DAB">
      <w:pPr>
        <w:rPr>
          <w:rFonts w:ascii="Arial" w:hAnsi="Arial" w:cs="Arial"/>
          <w:b/>
          <w:bCs/>
        </w:rPr>
      </w:pPr>
    </w:p>
    <w:sectPr w:rsidR="39BA3DAB" w:rsidRPr="0091076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7EF" w:rsidRDefault="00FA57EF" w:rsidP="00367817">
      <w:pPr>
        <w:spacing w:after="0" w:line="240" w:lineRule="auto"/>
      </w:pPr>
      <w:r>
        <w:separator/>
      </w:r>
    </w:p>
  </w:endnote>
  <w:endnote w:type="continuationSeparator" w:id="0">
    <w:p w:rsidR="00FA57EF" w:rsidRDefault="00FA57EF" w:rsidP="0036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17" w:rsidRPr="00367817" w:rsidRDefault="00367817" w:rsidP="00367817">
    <w:pPr>
      <w:pStyle w:val="Footer"/>
      <w:rPr>
        <w:rFonts w:ascii="Arial" w:hAnsi="Arial" w:cs="Arial"/>
        <w:i/>
      </w:rPr>
    </w:pPr>
    <w:r w:rsidRPr="00367817">
      <w:rPr>
        <w:rFonts w:ascii="Arial" w:hAnsi="Arial" w:cs="Arial"/>
        <w:i/>
      </w:rPr>
      <w:t>Student and Graduate Employability, Business Engagement, Skills and Employability</w:t>
    </w:r>
  </w:p>
  <w:p w:rsidR="00367817" w:rsidRDefault="0036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7EF" w:rsidRDefault="00FA57EF" w:rsidP="00367817">
      <w:pPr>
        <w:spacing w:after="0" w:line="240" w:lineRule="auto"/>
      </w:pPr>
      <w:r>
        <w:separator/>
      </w:r>
    </w:p>
  </w:footnote>
  <w:footnote w:type="continuationSeparator" w:id="0">
    <w:p w:rsidR="00FA57EF" w:rsidRDefault="00FA57EF" w:rsidP="0036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5C0"/>
    <w:multiLevelType w:val="hybridMultilevel"/>
    <w:tmpl w:val="C616BFFA"/>
    <w:lvl w:ilvl="0" w:tplc="8A54494E">
      <w:start w:val="1"/>
      <w:numFmt w:val="bullet"/>
      <w:lvlText w:val=""/>
      <w:lvlJc w:val="left"/>
      <w:pPr>
        <w:ind w:left="720" w:hanging="360"/>
      </w:pPr>
      <w:rPr>
        <w:rFonts w:ascii="Symbol" w:hAnsi="Symbol" w:hint="default"/>
      </w:rPr>
    </w:lvl>
    <w:lvl w:ilvl="1" w:tplc="8C4820F2">
      <w:start w:val="1"/>
      <w:numFmt w:val="bullet"/>
      <w:lvlText w:val="o"/>
      <w:lvlJc w:val="left"/>
      <w:pPr>
        <w:ind w:left="1440" w:hanging="360"/>
      </w:pPr>
      <w:rPr>
        <w:rFonts w:ascii="Courier New" w:hAnsi="Courier New" w:hint="default"/>
      </w:rPr>
    </w:lvl>
    <w:lvl w:ilvl="2" w:tplc="3F18FAEA">
      <w:start w:val="1"/>
      <w:numFmt w:val="bullet"/>
      <w:lvlText w:val=""/>
      <w:lvlJc w:val="left"/>
      <w:pPr>
        <w:ind w:left="2160" w:hanging="360"/>
      </w:pPr>
      <w:rPr>
        <w:rFonts w:ascii="Wingdings" w:hAnsi="Wingdings" w:hint="default"/>
      </w:rPr>
    </w:lvl>
    <w:lvl w:ilvl="3" w:tplc="97483A2E">
      <w:start w:val="1"/>
      <w:numFmt w:val="bullet"/>
      <w:lvlText w:val=""/>
      <w:lvlJc w:val="left"/>
      <w:pPr>
        <w:ind w:left="2880" w:hanging="360"/>
      </w:pPr>
      <w:rPr>
        <w:rFonts w:ascii="Symbol" w:hAnsi="Symbol" w:hint="default"/>
      </w:rPr>
    </w:lvl>
    <w:lvl w:ilvl="4" w:tplc="5EF0AAE8">
      <w:start w:val="1"/>
      <w:numFmt w:val="bullet"/>
      <w:lvlText w:val="o"/>
      <w:lvlJc w:val="left"/>
      <w:pPr>
        <w:ind w:left="3600" w:hanging="360"/>
      </w:pPr>
      <w:rPr>
        <w:rFonts w:ascii="Courier New" w:hAnsi="Courier New" w:hint="default"/>
      </w:rPr>
    </w:lvl>
    <w:lvl w:ilvl="5" w:tplc="F84889A2">
      <w:start w:val="1"/>
      <w:numFmt w:val="bullet"/>
      <w:lvlText w:val=""/>
      <w:lvlJc w:val="left"/>
      <w:pPr>
        <w:ind w:left="4320" w:hanging="360"/>
      </w:pPr>
      <w:rPr>
        <w:rFonts w:ascii="Wingdings" w:hAnsi="Wingdings" w:hint="default"/>
      </w:rPr>
    </w:lvl>
    <w:lvl w:ilvl="6" w:tplc="7A0ED76C">
      <w:start w:val="1"/>
      <w:numFmt w:val="bullet"/>
      <w:lvlText w:val=""/>
      <w:lvlJc w:val="left"/>
      <w:pPr>
        <w:ind w:left="5040" w:hanging="360"/>
      </w:pPr>
      <w:rPr>
        <w:rFonts w:ascii="Symbol" w:hAnsi="Symbol" w:hint="default"/>
      </w:rPr>
    </w:lvl>
    <w:lvl w:ilvl="7" w:tplc="F4F86470">
      <w:start w:val="1"/>
      <w:numFmt w:val="bullet"/>
      <w:lvlText w:val="o"/>
      <w:lvlJc w:val="left"/>
      <w:pPr>
        <w:ind w:left="5760" w:hanging="360"/>
      </w:pPr>
      <w:rPr>
        <w:rFonts w:ascii="Courier New" w:hAnsi="Courier New" w:hint="default"/>
      </w:rPr>
    </w:lvl>
    <w:lvl w:ilvl="8" w:tplc="B796A336">
      <w:start w:val="1"/>
      <w:numFmt w:val="bullet"/>
      <w:lvlText w:val=""/>
      <w:lvlJc w:val="left"/>
      <w:pPr>
        <w:ind w:left="6480" w:hanging="360"/>
      </w:pPr>
      <w:rPr>
        <w:rFonts w:ascii="Wingdings" w:hAnsi="Wingdings" w:hint="default"/>
      </w:rPr>
    </w:lvl>
  </w:abstractNum>
  <w:abstractNum w:abstractNumId="1" w15:restartNumberingAfterBreak="0">
    <w:nsid w:val="0F9E5B40"/>
    <w:multiLevelType w:val="hybridMultilevel"/>
    <w:tmpl w:val="F06E6D3E"/>
    <w:lvl w:ilvl="0" w:tplc="6B4E0BF2">
      <w:start w:val="1"/>
      <w:numFmt w:val="bullet"/>
      <w:lvlText w:val=""/>
      <w:lvlJc w:val="left"/>
      <w:pPr>
        <w:ind w:left="720" w:hanging="360"/>
      </w:pPr>
      <w:rPr>
        <w:rFonts w:ascii="Symbol" w:hAnsi="Symbol" w:hint="default"/>
      </w:rPr>
    </w:lvl>
    <w:lvl w:ilvl="1" w:tplc="C56442EE">
      <w:start w:val="1"/>
      <w:numFmt w:val="bullet"/>
      <w:lvlText w:val="o"/>
      <w:lvlJc w:val="left"/>
      <w:pPr>
        <w:ind w:left="1440" w:hanging="360"/>
      </w:pPr>
      <w:rPr>
        <w:rFonts w:ascii="Courier New" w:hAnsi="Courier New" w:hint="default"/>
      </w:rPr>
    </w:lvl>
    <w:lvl w:ilvl="2" w:tplc="FA5AE6EC">
      <w:start w:val="1"/>
      <w:numFmt w:val="bullet"/>
      <w:lvlText w:val=""/>
      <w:lvlJc w:val="left"/>
      <w:pPr>
        <w:ind w:left="2160" w:hanging="360"/>
      </w:pPr>
      <w:rPr>
        <w:rFonts w:ascii="Wingdings" w:hAnsi="Wingdings" w:hint="default"/>
      </w:rPr>
    </w:lvl>
    <w:lvl w:ilvl="3" w:tplc="74BA6962">
      <w:start w:val="1"/>
      <w:numFmt w:val="bullet"/>
      <w:lvlText w:val=""/>
      <w:lvlJc w:val="left"/>
      <w:pPr>
        <w:ind w:left="2880" w:hanging="360"/>
      </w:pPr>
      <w:rPr>
        <w:rFonts w:ascii="Symbol" w:hAnsi="Symbol" w:hint="default"/>
      </w:rPr>
    </w:lvl>
    <w:lvl w:ilvl="4" w:tplc="6906818A">
      <w:start w:val="1"/>
      <w:numFmt w:val="bullet"/>
      <w:lvlText w:val="o"/>
      <w:lvlJc w:val="left"/>
      <w:pPr>
        <w:ind w:left="3600" w:hanging="360"/>
      </w:pPr>
      <w:rPr>
        <w:rFonts w:ascii="Courier New" w:hAnsi="Courier New" w:hint="default"/>
      </w:rPr>
    </w:lvl>
    <w:lvl w:ilvl="5" w:tplc="0282980C">
      <w:start w:val="1"/>
      <w:numFmt w:val="bullet"/>
      <w:lvlText w:val=""/>
      <w:lvlJc w:val="left"/>
      <w:pPr>
        <w:ind w:left="4320" w:hanging="360"/>
      </w:pPr>
      <w:rPr>
        <w:rFonts w:ascii="Wingdings" w:hAnsi="Wingdings" w:hint="default"/>
      </w:rPr>
    </w:lvl>
    <w:lvl w:ilvl="6" w:tplc="9D7E83AC">
      <w:start w:val="1"/>
      <w:numFmt w:val="bullet"/>
      <w:lvlText w:val=""/>
      <w:lvlJc w:val="left"/>
      <w:pPr>
        <w:ind w:left="5040" w:hanging="360"/>
      </w:pPr>
      <w:rPr>
        <w:rFonts w:ascii="Symbol" w:hAnsi="Symbol" w:hint="default"/>
      </w:rPr>
    </w:lvl>
    <w:lvl w:ilvl="7" w:tplc="D44AB834">
      <w:start w:val="1"/>
      <w:numFmt w:val="bullet"/>
      <w:lvlText w:val="o"/>
      <w:lvlJc w:val="left"/>
      <w:pPr>
        <w:ind w:left="5760" w:hanging="360"/>
      </w:pPr>
      <w:rPr>
        <w:rFonts w:ascii="Courier New" w:hAnsi="Courier New" w:hint="default"/>
      </w:rPr>
    </w:lvl>
    <w:lvl w:ilvl="8" w:tplc="1A069BB0">
      <w:start w:val="1"/>
      <w:numFmt w:val="bullet"/>
      <w:lvlText w:val=""/>
      <w:lvlJc w:val="left"/>
      <w:pPr>
        <w:ind w:left="6480" w:hanging="360"/>
      </w:pPr>
      <w:rPr>
        <w:rFonts w:ascii="Wingdings" w:hAnsi="Wingdings" w:hint="default"/>
      </w:rPr>
    </w:lvl>
  </w:abstractNum>
  <w:abstractNum w:abstractNumId="2" w15:restartNumberingAfterBreak="0">
    <w:nsid w:val="214F1444"/>
    <w:multiLevelType w:val="hybridMultilevel"/>
    <w:tmpl w:val="4A1A32EA"/>
    <w:lvl w:ilvl="0" w:tplc="90A0C3B8">
      <w:start w:val="1"/>
      <w:numFmt w:val="bullet"/>
      <w:lvlText w:val=""/>
      <w:lvlJc w:val="left"/>
      <w:pPr>
        <w:ind w:left="720" w:hanging="360"/>
      </w:pPr>
      <w:rPr>
        <w:rFonts w:ascii="Symbol" w:hAnsi="Symbol" w:hint="default"/>
      </w:rPr>
    </w:lvl>
    <w:lvl w:ilvl="1" w:tplc="04046900">
      <w:start w:val="1"/>
      <w:numFmt w:val="bullet"/>
      <w:lvlText w:val="o"/>
      <w:lvlJc w:val="left"/>
      <w:pPr>
        <w:ind w:left="1440" w:hanging="360"/>
      </w:pPr>
      <w:rPr>
        <w:rFonts w:ascii="Courier New" w:hAnsi="Courier New" w:hint="default"/>
      </w:rPr>
    </w:lvl>
    <w:lvl w:ilvl="2" w:tplc="B122D39A">
      <w:start w:val="1"/>
      <w:numFmt w:val="bullet"/>
      <w:lvlText w:val=""/>
      <w:lvlJc w:val="left"/>
      <w:pPr>
        <w:ind w:left="2160" w:hanging="360"/>
      </w:pPr>
      <w:rPr>
        <w:rFonts w:ascii="Wingdings" w:hAnsi="Wingdings" w:hint="default"/>
      </w:rPr>
    </w:lvl>
    <w:lvl w:ilvl="3" w:tplc="499683AA">
      <w:start w:val="1"/>
      <w:numFmt w:val="bullet"/>
      <w:lvlText w:val=""/>
      <w:lvlJc w:val="left"/>
      <w:pPr>
        <w:ind w:left="2880" w:hanging="360"/>
      </w:pPr>
      <w:rPr>
        <w:rFonts w:ascii="Symbol" w:hAnsi="Symbol" w:hint="default"/>
      </w:rPr>
    </w:lvl>
    <w:lvl w:ilvl="4" w:tplc="B262EB96">
      <w:start w:val="1"/>
      <w:numFmt w:val="bullet"/>
      <w:lvlText w:val="o"/>
      <w:lvlJc w:val="left"/>
      <w:pPr>
        <w:ind w:left="3600" w:hanging="360"/>
      </w:pPr>
      <w:rPr>
        <w:rFonts w:ascii="Courier New" w:hAnsi="Courier New" w:hint="default"/>
      </w:rPr>
    </w:lvl>
    <w:lvl w:ilvl="5" w:tplc="8FE24DDA">
      <w:start w:val="1"/>
      <w:numFmt w:val="bullet"/>
      <w:lvlText w:val=""/>
      <w:lvlJc w:val="left"/>
      <w:pPr>
        <w:ind w:left="4320" w:hanging="360"/>
      </w:pPr>
      <w:rPr>
        <w:rFonts w:ascii="Wingdings" w:hAnsi="Wingdings" w:hint="default"/>
      </w:rPr>
    </w:lvl>
    <w:lvl w:ilvl="6" w:tplc="36B89598">
      <w:start w:val="1"/>
      <w:numFmt w:val="bullet"/>
      <w:lvlText w:val=""/>
      <w:lvlJc w:val="left"/>
      <w:pPr>
        <w:ind w:left="5040" w:hanging="360"/>
      </w:pPr>
      <w:rPr>
        <w:rFonts w:ascii="Symbol" w:hAnsi="Symbol" w:hint="default"/>
      </w:rPr>
    </w:lvl>
    <w:lvl w:ilvl="7" w:tplc="646C0F16">
      <w:start w:val="1"/>
      <w:numFmt w:val="bullet"/>
      <w:lvlText w:val="o"/>
      <w:lvlJc w:val="left"/>
      <w:pPr>
        <w:ind w:left="5760" w:hanging="360"/>
      </w:pPr>
      <w:rPr>
        <w:rFonts w:ascii="Courier New" w:hAnsi="Courier New" w:hint="default"/>
      </w:rPr>
    </w:lvl>
    <w:lvl w:ilvl="8" w:tplc="3E304922">
      <w:start w:val="1"/>
      <w:numFmt w:val="bullet"/>
      <w:lvlText w:val=""/>
      <w:lvlJc w:val="left"/>
      <w:pPr>
        <w:ind w:left="6480" w:hanging="360"/>
      </w:pPr>
      <w:rPr>
        <w:rFonts w:ascii="Wingdings" w:hAnsi="Wingdings" w:hint="default"/>
      </w:rPr>
    </w:lvl>
  </w:abstractNum>
  <w:abstractNum w:abstractNumId="3" w15:restartNumberingAfterBreak="0">
    <w:nsid w:val="22C33896"/>
    <w:multiLevelType w:val="hybridMultilevel"/>
    <w:tmpl w:val="46384F9C"/>
    <w:lvl w:ilvl="0" w:tplc="74FA0E44">
      <w:start w:val="1"/>
      <w:numFmt w:val="bullet"/>
      <w:lvlText w:val=""/>
      <w:lvlJc w:val="left"/>
      <w:pPr>
        <w:ind w:left="720" w:hanging="360"/>
      </w:pPr>
      <w:rPr>
        <w:rFonts w:ascii="Symbol" w:hAnsi="Symbol" w:hint="default"/>
      </w:rPr>
    </w:lvl>
    <w:lvl w:ilvl="1" w:tplc="97F07A60">
      <w:start w:val="1"/>
      <w:numFmt w:val="bullet"/>
      <w:lvlText w:val="o"/>
      <w:lvlJc w:val="left"/>
      <w:pPr>
        <w:ind w:left="1440" w:hanging="360"/>
      </w:pPr>
      <w:rPr>
        <w:rFonts w:ascii="Courier New" w:hAnsi="Courier New" w:hint="default"/>
      </w:rPr>
    </w:lvl>
    <w:lvl w:ilvl="2" w:tplc="4DEA60E8">
      <w:start w:val="1"/>
      <w:numFmt w:val="bullet"/>
      <w:lvlText w:val=""/>
      <w:lvlJc w:val="left"/>
      <w:pPr>
        <w:ind w:left="2160" w:hanging="360"/>
      </w:pPr>
      <w:rPr>
        <w:rFonts w:ascii="Wingdings" w:hAnsi="Wingdings" w:hint="default"/>
      </w:rPr>
    </w:lvl>
    <w:lvl w:ilvl="3" w:tplc="39EC5AE2">
      <w:start w:val="1"/>
      <w:numFmt w:val="bullet"/>
      <w:lvlText w:val=""/>
      <w:lvlJc w:val="left"/>
      <w:pPr>
        <w:ind w:left="2880" w:hanging="360"/>
      </w:pPr>
      <w:rPr>
        <w:rFonts w:ascii="Symbol" w:hAnsi="Symbol" w:hint="default"/>
      </w:rPr>
    </w:lvl>
    <w:lvl w:ilvl="4" w:tplc="1D48CAD4">
      <w:start w:val="1"/>
      <w:numFmt w:val="bullet"/>
      <w:lvlText w:val="o"/>
      <w:lvlJc w:val="left"/>
      <w:pPr>
        <w:ind w:left="3600" w:hanging="360"/>
      </w:pPr>
      <w:rPr>
        <w:rFonts w:ascii="Courier New" w:hAnsi="Courier New" w:hint="default"/>
      </w:rPr>
    </w:lvl>
    <w:lvl w:ilvl="5" w:tplc="AF1EBA42">
      <w:start w:val="1"/>
      <w:numFmt w:val="bullet"/>
      <w:lvlText w:val=""/>
      <w:lvlJc w:val="left"/>
      <w:pPr>
        <w:ind w:left="4320" w:hanging="360"/>
      </w:pPr>
      <w:rPr>
        <w:rFonts w:ascii="Wingdings" w:hAnsi="Wingdings" w:hint="default"/>
      </w:rPr>
    </w:lvl>
    <w:lvl w:ilvl="6" w:tplc="286897BC">
      <w:start w:val="1"/>
      <w:numFmt w:val="bullet"/>
      <w:lvlText w:val=""/>
      <w:lvlJc w:val="left"/>
      <w:pPr>
        <w:ind w:left="5040" w:hanging="360"/>
      </w:pPr>
      <w:rPr>
        <w:rFonts w:ascii="Symbol" w:hAnsi="Symbol" w:hint="default"/>
      </w:rPr>
    </w:lvl>
    <w:lvl w:ilvl="7" w:tplc="87F677EE">
      <w:start w:val="1"/>
      <w:numFmt w:val="bullet"/>
      <w:lvlText w:val="o"/>
      <w:lvlJc w:val="left"/>
      <w:pPr>
        <w:ind w:left="5760" w:hanging="360"/>
      </w:pPr>
      <w:rPr>
        <w:rFonts w:ascii="Courier New" w:hAnsi="Courier New" w:hint="default"/>
      </w:rPr>
    </w:lvl>
    <w:lvl w:ilvl="8" w:tplc="5AEEE442">
      <w:start w:val="1"/>
      <w:numFmt w:val="bullet"/>
      <w:lvlText w:val=""/>
      <w:lvlJc w:val="left"/>
      <w:pPr>
        <w:ind w:left="6480" w:hanging="360"/>
      </w:pPr>
      <w:rPr>
        <w:rFonts w:ascii="Wingdings" w:hAnsi="Wingdings" w:hint="default"/>
      </w:rPr>
    </w:lvl>
  </w:abstractNum>
  <w:abstractNum w:abstractNumId="4" w15:restartNumberingAfterBreak="0">
    <w:nsid w:val="36C859EE"/>
    <w:multiLevelType w:val="hybridMultilevel"/>
    <w:tmpl w:val="9544C144"/>
    <w:lvl w:ilvl="0" w:tplc="BFF0EB8A">
      <w:start w:val="1"/>
      <w:numFmt w:val="bullet"/>
      <w:lvlText w:val=""/>
      <w:lvlJc w:val="left"/>
      <w:pPr>
        <w:ind w:left="720" w:hanging="360"/>
      </w:pPr>
      <w:rPr>
        <w:rFonts w:ascii="Symbol" w:hAnsi="Symbol" w:hint="default"/>
      </w:rPr>
    </w:lvl>
    <w:lvl w:ilvl="1" w:tplc="A8D0BC52">
      <w:start w:val="1"/>
      <w:numFmt w:val="bullet"/>
      <w:lvlText w:val="o"/>
      <w:lvlJc w:val="left"/>
      <w:pPr>
        <w:ind w:left="1440" w:hanging="360"/>
      </w:pPr>
      <w:rPr>
        <w:rFonts w:ascii="Courier New" w:hAnsi="Courier New" w:hint="default"/>
      </w:rPr>
    </w:lvl>
    <w:lvl w:ilvl="2" w:tplc="0E1205D4">
      <w:start w:val="1"/>
      <w:numFmt w:val="bullet"/>
      <w:lvlText w:val=""/>
      <w:lvlJc w:val="left"/>
      <w:pPr>
        <w:ind w:left="2160" w:hanging="360"/>
      </w:pPr>
      <w:rPr>
        <w:rFonts w:ascii="Wingdings" w:hAnsi="Wingdings" w:hint="default"/>
      </w:rPr>
    </w:lvl>
    <w:lvl w:ilvl="3" w:tplc="D924C8B6">
      <w:start w:val="1"/>
      <w:numFmt w:val="bullet"/>
      <w:lvlText w:val=""/>
      <w:lvlJc w:val="left"/>
      <w:pPr>
        <w:ind w:left="2880" w:hanging="360"/>
      </w:pPr>
      <w:rPr>
        <w:rFonts w:ascii="Symbol" w:hAnsi="Symbol" w:hint="default"/>
      </w:rPr>
    </w:lvl>
    <w:lvl w:ilvl="4" w:tplc="AB64AC2E">
      <w:start w:val="1"/>
      <w:numFmt w:val="bullet"/>
      <w:lvlText w:val="o"/>
      <w:lvlJc w:val="left"/>
      <w:pPr>
        <w:ind w:left="3600" w:hanging="360"/>
      </w:pPr>
      <w:rPr>
        <w:rFonts w:ascii="Courier New" w:hAnsi="Courier New" w:hint="default"/>
      </w:rPr>
    </w:lvl>
    <w:lvl w:ilvl="5" w:tplc="EF0EAF6E">
      <w:start w:val="1"/>
      <w:numFmt w:val="bullet"/>
      <w:lvlText w:val=""/>
      <w:lvlJc w:val="left"/>
      <w:pPr>
        <w:ind w:left="4320" w:hanging="360"/>
      </w:pPr>
      <w:rPr>
        <w:rFonts w:ascii="Wingdings" w:hAnsi="Wingdings" w:hint="default"/>
      </w:rPr>
    </w:lvl>
    <w:lvl w:ilvl="6" w:tplc="83D87CA4">
      <w:start w:val="1"/>
      <w:numFmt w:val="bullet"/>
      <w:lvlText w:val=""/>
      <w:lvlJc w:val="left"/>
      <w:pPr>
        <w:ind w:left="5040" w:hanging="360"/>
      </w:pPr>
      <w:rPr>
        <w:rFonts w:ascii="Symbol" w:hAnsi="Symbol" w:hint="default"/>
      </w:rPr>
    </w:lvl>
    <w:lvl w:ilvl="7" w:tplc="0AACBCAE">
      <w:start w:val="1"/>
      <w:numFmt w:val="bullet"/>
      <w:lvlText w:val="o"/>
      <w:lvlJc w:val="left"/>
      <w:pPr>
        <w:ind w:left="5760" w:hanging="360"/>
      </w:pPr>
      <w:rPr>
        <w:rFonts w:ascii="Courier New" w:hAnsi="Courier New" w:hint="default"/>
      </w:rPr>
    </w:lvl>
    <w:lvl w:ilvl="8" w:tplc="F5F09080">
      <w:start w:val="1"/>
      <w:numFmt w:val="bullet"/>
      <w:lvlText w:val=""/>
      <w:lvlJc w:val="left"/>
      <w:pPr>
        <w:ind w:left="6480" w:hanging="360"/>
      </w:pPr>
      <w:rPr>
        <w:rFonts w:ascii="Wingdings" w:hAnsi="Wingdings" w:hint="default"/>
      </w:rPr>
    </w:lvl>
  </w:abstractNum>
  <w:abstractNum w:abstractNumId="5" w15:restartNumberingAfterBreak="0">
    <w:nsid w:val="4C120BD2"/>
    <w:multiLevelType w:val="hybridMultilevel"/>
    <w:tmpl w:val="6E2CF8D4"/>
    <w:lvl w:ilvl="0" w:tplc="987AF34A">
      <w:start w:val="1"/>
      <w:numFmt w:val="bullet"/>
      <w:lvlText w:val=""/>
      <w:lvlJc w:val="left"/>
      <w:pPr>
        <w:ind w:left="720" w:hanging="360"/>
      </w:pPr>
      <w:rPr>
        <w:rFonts w:ascii="Symbol" w:hAnsi="Symbol" w:hint="default"/>
      </w:rPr>
    </w:lvl>
    <w:lvl w:ilvl="1" w:tplc="E0FCD850">
      <w:start w:val="1"/>
      <w:numFmt w:val="bullet"/>
      <w:lvlText w:val="o"/>
      <w:lvlJc w:val="left"/>
      <w:pPr>
        <w:ind w:left="1440" w:hanging="360"/>
      </w:pPr>
      <w:rPr>
        <w:rFonts w:ascii="Courier New" w:hAnsi="Courier New" w:hint="default"/>
      </w:rPr>
    </w:lvl>
    <w:lvl w:ilvl="2" w:tplc="F646A054">
      <w:start w:val="1"/>
      <w:numFmt w:val="bullet"/>
      <w:lvlText w:val=""/>
      <w:lvlJc w:val="left"/>
      <w:pPr>
        <w:ind w:left="2160" w:hanging="360"/>
      </w:pPr>
      <w:rPr>
        <w:rFonts w:ascii="Wingdings" w:hAnsi="Wingdings" w:hint="default"/>
      </w:rPr>
    </w:lvl>
    <w:lvl w:ilvl="3" w:tplc="20EE8F70">
      <w:start w:val="1"/>
      <w:numFmt w:val="bullet"/>
      <w:lvlText w:val=""/>
      <w:lvlJc w:val="left"/>
      <w:pPr>
        <w:ind w:left="2880" w:hanging="360"/>
      </w:pPr>
      <w:rPr>
        <w:rFonts w:ascii="Symbol" w:hAnsi="Symbol" w:hint="default"/>
      </w:rPr>
    </w:lvl>
    <w:lvl w:ilvl="4" w:tplc="3F8A22D0">
      <w:start w:val="1"/>
      <w:numFmt w:val="bullet"/>
      <w:lvlText w:val="o"/>
      <w:lvlJc w:val="left"/>
      <w:pPr>
        <w:ind w:left="3600" w:hanging="360"/>
      </w:pPr>
      <w:rPr>
        <w:rFonts w:ascii="Courier New" w:hAnsi="Courier New" w:hint="default"/>
      </w:rPr>
    </w:lvl>
    <w:lvl w:ilvl="5" w:tplc="CACC9F9A">
      <w:start w:val="1"/>
      <w:numFmt w:val="bullet"/>
      <w:lvlText w:val=""/>
      <w:lvlJc w:val="left"/>
      <w:pPr>
        <w:ind w:left="4320" w:hanging="360"/>
      </w:pPr>
      <w:rPr>
        <w:rFonts w:ascii="Wingdings" w:hAnsi="Wingdings" w:hint="default"/>
      </w:rPr>
    </w:lvl>
    <w:lvl w:ilvl="6" w:tplc="6A92D8AE">
      <w:start w:val="1"/>
      <w:numFmt w:val="bullet"/>
      <w:lvlText w:val=""/>
      <w:lvlJc w:val="left"/>
      <w:pPr>
        <w:ind w:left="5040" w:hanging="360"/>
      </w:pPr>
      <w:rPr>
        <w:rFonts w:ascii="Symbol" w:hAnsi="Symbol" w:hint="default"/>
      </w:rPr>
    </w:lvl>
    <w:lvl w:ilvl="7" w:tplc="37BA2802">
      <w:start w:val="1"/>
      <w:numFmt w:val="bullet"/>
      <w:lvlText w:val="o"/>
      <w:lvlJc w:val="left"/>
      <w:pPr>
        <w:ind w:left="5760" w:hanging="360"/>
      </w:pPr>
      <w:rPr>
        <w:rFonts w:ascii="Courier New" w:hAnsi="Courier New" w:hint="default"/>
      </w:rPr>
    </w:lvl>
    <w:lvl w:ilvl="8" w:tplc="186C3134">
      <w:start w:val="1"/>
      <w:numFmt w:val="bullet"/>
      <w:lvlText w:val=""/>
      <w:lvlJc w:val="left"/>
      <w:pPr>
        <w:ind w:left="6480" w:hanging="360"/>
      </w:pPr>
      <w:rPr>
        <w:rFonts w:ascii="Wingdings" w:hAnsi="Wingdings" w:hint="default"/>
      </w:rPr>
    </w:lvl>
  </w:abstractNum>
  <w:abstractNum w:abstractNumId="6" w15:restartNumberingAfterBreak="0">
    <w:nsid w:val="5A901612"/>
    <w:multiLevelType w:val="hybridMultilevel"/>
    <w:tmpl w:val="DC4C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E3BC2"/>
    <w:multiLevelType w:val="hybridMultilevel"/>
    <w:tmpl w:val="8B386F10"/>
    <w:lvl w:ilvl="0" w:tplc="33803942">
      <w:start w:val="1"/>
      <w:numFmt w:val="bullet"/>
      <w:lvlText w:val=""/>
      <w:lvlJc w:val="left"/>
      <w:pPr>
        <w:ind w:left="720" w:hanging="360"/>
      </w:pPr>
      <w:rPr>
        <w:rFonts w:ascii="Symbol" w:hAnsi="Symbol" w:hint="default"/>
      </w:rPr>
    </w:lvl>
    <w:lvl w:ilvl="1" w:tplc="FD56532E">
      <w:start w:val="1"/>
      <w:numFmt w:val="bullet"/>
      <w:lvlText w:val="o"/>
      <w:lvlJc w:val="left"/>
      <w:pPr>
        <w:ind w:left="1440" w:hanging="360"/>
      </w:pPr>
      <w:rPr>
        <w:rFonts w:ascii="Courier New" w:hAnsi="Courier New" w:hint="default"/>
      </w:rPr>
    </w:lvl>
    <w:lvl w:ilvl="2" w:tplc="9C087B72">
      <w:start w:val="1"/>
      <w:numFmt w:val="bullet"/>
      <w:lvlText w:val=""/>
      <w:lvlJc w:val="left"/>
      <w:pPr>
        <w:ind w:left="2160" w:hanging="360"/>
      </w:pPr>
      <w:rPr>
        <w:rFonts w:ascii="Wingdings" w:hAnsi="Wingdings" w:hint="default"/>
      </w:rPr>
    </w:lvl>
    <w:lvl w:ilvl="3" w:tplc="4858C690">
      <w:start w:val="1"/>
      <w:numFmt w:val="bullet"/>
      <w:lvlText w:val=""/>
      <w:lvlJc w:val="left"/>
      <w:pPr>
        <w:ind w:left="2880" w:hanging="360"/>
      </w:pPr>
      <w:rPr>
        <w:rFonts w:ascii="Symbol" w:hAnsi="Symbol" w:hint="default"/>
      </w:rPr>
    </w:lvl>
    <w:lvl w:ilvl="4" w:tplc="168431AA">
      <w:start w:val="1"/>
      <w:numFmt w:val="bullet"/>
      <w:lvlText w:val="o"/>
      <w:lvlJc w:val="left"/>
      <w:pPr>
        <w:ind w:left="3600" w:hanging="360"/>
      </w:pPr>
      <w:rPr>
        <w:rFonts w:ascii="Courier New" w:hAnsi="Courier New" w:hint="default"/>
      </w:rPr>
    </w:lvl>
    <w:lvl w:ilvl="5" w:tplc="B9B604C4">
      <w:start w:val="1"/>
      <w:numFmt w:val="bullet"/>
      <w:lvlText w:val=""/>
      <w:lvlJc w:val="left"/>
      <w:pPr>
        <w:ind w:left="4320" w:hanging="360"/>
      </w:pPr>
      <w:rPr>
        <w:rFonts w:ascii="Wingdings" w:hAnsi="Wingdings" w:hint="default"/>
      </w:rPr>
    </w:lvl>
    <w:lvl w:ilvl="6" w:tplc="3F74C618">
      <w:start w:val="1"/>
      <w:numFmt w:val="bullet"/>
      <w:lvlText w:val=""/>
      <w:lvlJc w:val="left"/>
      <w:pPr>
        <w:ind w:left="5040" w:hanging="360"/>
      </w:pPr>
      <w:rPr>
        <w:rFonts w:ascii="Symbol" w:hAnsi="Symbol" w:hint="default"/>
      </w:rPr>
    </w:lvl>
    <w:lvl w:ilvl="7" w:tplc="3426E93A">
      <w:start w:val="1"/>
      <w:numFmt w:val="bullet"/>
      <w:lvlText w:val="o"/>
      <w:lvlJc w:val="left"/>
      <w:pPr>
        <w:ind w:left="5760" w:hanging="360"/>
      </w:pPr>
      <w:rPr>
        <w:rFonts w:ascii="Courier New" w:hAnsi="Courier New" w:hint="default"/>
      </w:rPr>
    </w:lvl>
    <w:lvl w:ilvl="8" w:tplc="D7069898">
      <w:start w:val="1"/>
      <w:numFmt w:val="bullet"/>
      <w:lvlText w:val=""/>
      <w:lvlJc w:val="left"/>
      <w:pPr>
        <w:ind w:left="6480" w:hanging="360"/>
      </w:pPr>
      <w:rPr>
        <w:rFonts w:ascii="Wingdings" w:hAnsi="Wingdings" w:hint="default"/>
      </w:rPr>
    </w:lvl>
  </w:abstractNum>
  <w:abstractNum w:abstractNumId="8" w15:restartNumberingAfterBreak="0">
    <w:nsid w:val="78BB012E"/>
    <w:multiLevelType w:val="hybridMultilevel"/>
    <w:tmpl w:val="FB94252A"/>
    <w:lvl w:ilvl="0" w:tplc="1B20140C">
      <w:start w:val="1"/>
      <w:numFmt w:val="bullet"/>
      <w:lvlText w:val=""/>
      <w:lvlJc w:val="left"/>
      <w:pPr>
        <w:ind w:left="720" w:hanging="360"/>
      </w:pPr>
      <w:rPr>
        <w:rFonts w:ascii="Symbol" w:hAnsi="Symbol" w:hint="default"/>
      </w:rPr>
    </w:lvl>
    <w:lvl w:ilvl="1" w:tplc="880A5FC8">
      <w:start w:val="1"/>
      <w:numFmt w:val="bullet"/>
      <w:lvlText w:val=""/>
      <w:lvlJc w:val="left"/>
      <w:pPr>
        <w:ind w:left="1440" w:hanging="360"/>
      </w:pPr>
      <w:rPr>
        <w:rFonts w:ascii="Symbol" w:hAnsi="Symbol" w:hint="default"/>
      </w:rPr>
    </w:lvl>
    <w:lvl w:ilvl="2" w:tplc="F4AC33BC">
      <w:start w:val="1"/>
      <w:numFmt w:val="bullet"/>
      <w:lvlText w:val=""/>
      <w:lvlJc w:val="left"/>
      <w:pPr>
        <w:ind w:left="2160" w:hanging="360"/>
      </w:pPr>
      <w:rPr>
        <w:rFonts w:ascii="Wingdings" w:hAnsi="Wingdings" w:hint="default"/>
      </w:rPr>
    </w:lvl>
    <w:lvl w:ilvl="3" w:tplc="1B7A7304">
      <w:start w:val="1"/>
      <w:numFmt w:val="bullet"/>
      <w:lvlText w:val=""/>
      <w:lvlJc w:val="left"/>
      <w:pPr>
        <w:ind w:left="2880" w:hanging="360"/>
      </w:pPr>
      <w:rPr>
        <w:rFonts w:ascii="Symbol" w:hAnsi="Symbol" w:hint="default"/>
      </w:rPr>
    </w:lvl>
    <w:lvl w:ilvl="4" w:tplc="EDC8D0C6">
      <w:start w:val="1"/>
      <w:numFmt w:val="bullet"/>
      <w:lvlText w:val="o"/>
      <w:lvlJc w:val="left"/>
      <w:pPr>
        <w:ind w:left="3600" w:hanging="360"/>
      </w:pPr>
      <w:rPr>
        <w:rFonts w:ascii="Courier New" w:hAnsi="Courier New" w:hint="default"/>
      </w:rPr>
    </w:lvl>
    <w:lvl w:ilvl="5" w:tplc="E862B94A">
      <w:start w:val="1"/>
      <w:numFmt w:val="bullet"/>
      <w:lvlText w:val=""/>
      <w:lvlJc w:val="left"/>
      <w:pPr>
        <w:ind w:left="4320" w:hanging="360"/>
      </w:pPr>
      <w:rPr>
        <w:rFonts w:ascii="Wingdings" w:hAnsi="Wingdings" w:hint="default"/>
      </w:rPr>
    </w:lvl>
    <w:lvl w:ilvl="6" w:tplc="C4B4A6F0">
      <w:start w:val="1"/>
      <w:numFmt w:val="bullet"/>
      <w:lvlText w:val=""/>
      <w:lvlJc w:val="left"/>
      <w:pPr>
        <w:ind w:left="5040" w:hanging="360"/>
      </w:pPr>
      <w:rPr>
        <w:rFonts w:ascii="Symbol" w:hAnsi="Symbol" w:hint="default"/>
      </w:rPr>
    </w:lvl>
    <w:lvl w:ilvl="7" w:tplc="CF568BFC">
      <w:start w:val="1"/>
      <w:numFmt w:val="bullet"/>
      <w:lvlText w:val="o"/>
      <w:lvlJc w:val="left"/>
      <w:pPr>
        <w:ind w:left="5760" w:hanging="360"/>
      </w:pPr>
      <w:rPr>
        <w:rFonts w:ascii="Courier New" w:hAnsi="Courier New" w:hint="default"/>
      </w:rPr>
    </w:lvl>
    <w:lvl w:ilvl="8" w:tplc="AC523E72">
      <w:start w:val="1"/>
      <w:numFmt w:val="bullet"/>
      <w:lvlText w:val=""/>
      <w:lvlJc w:val="left"/>
      <w:pPr>
        <w:ind w:left="6480" w:hanging="360"/>
      </w:pPr>
      <w:rPr>
        <w:rFonts w:ascii="Wingdings" w:hAnsi="Wingdings" w:hint="default"/>
      </w:rPr>
    </w:lvl>
  </w:abstractNum>
  <w:abstractNum w:abstractNumId="9" w15:restartNumberingAfterBreak="0">
    <w:nsid w:val="7D7C5892"/>
    <w:multiLevelType w:val="hybridMultilevel"/>
    <w:tmpl w:val="2562932E"/>
    <w:lvl w:ilvl="0" w:tplc="F91AF9FE">
      <w:start w:val="1"/>
      <w:numFmt w:val="bullet"/>
      <w:lvlText w:val=""/>
      <w:lvlJc w:val="left"/>
      <w:pPr>
        <w:ind w:left="720" w:hanging="360"/>
      </w:pPr>
      <w:rPr>
        <w:rFonts w:ascii="Symbol" w:hAnsi="Symbol" w:hint="default"/>
      </w:rPr>
    </w:lvl>
    <w:lvl w:ilvl="1" w:tplc="2FDA0FE0">
      <w:start w:val="1"/>
      <w:numFmt w:val="bullet"/>
      <w:lvlText w:val="o"/>
      <w:lvlJc w:val="left"/>
      <w:pPr>
        <w:ind w:left="1440" w:hanging="360"/>
      </w:pPr>
      <w:rPr>
        <w:rFonts w:ascii="Courier New" w:hAnsi="Courier New" w:hint="default"/>
      </w:rPr>
    </w:lvl>
    <w:lvl w:ilvl="2" w:tplc="445623D8">
      <w:start w:val="1"/>
      <w:numFmt w:val="bullet"/>
      <w:lvlText w:val=""/>
      <w:lvlJc w:val="left"/>
      <w:pPr>
        <w:ind w:left="2160" w:hanging="360"/>
      </w:pPr>
      <w:rPr>
        <w:rFonts w:ascii="Wingdings" w:hAnsi="Wingdings" w:hint="default"/>
      </w:rPr>
    </w:lvl>
    <w:lvl w:ilvl="3" w:tplc="7884C680">
      <w:start w:val="1"/>
      <w:numFmt w:val="bullet"/>
      <w:lvlText w:val=""/>
      <w:lvlJc w:val="left"/>
      <w:pPr>
        <w:ind w:left="2880" w:hanging="360"/>
      </w:pPr>
      <w:rPr>
        <w:rFonts w:ascii="Symbol" w:hAnsi="Symbol" w:hint="default"/>
      </w:rPr>
    </w:lvl>
    <w:lvl w:ilvl="4" w:tplc="D89C9148">
      <w:start w:val="1"/>
      <w:numFmt w:val="bullet"/>
      <w:lvlText w:val="o"/>
      <w:lvlJc w:val="left"/>
      <w:pPr>
        <w:ind w:left="3600" w:hanging="360"/>
      </w:pPr>
      <w:rPr>
        <w:rFonts w:ascii="Courier New" w:hAnsi="Courier New" w:hint="default"/>
      </w:rPr>
    </w:lvl>
    <w:lvl w:ilvl="5" w:tplc="1152C888">
      <w:start w:val="1"/>
      <w:numFmt w:val="bullet"/>
      <w:lvlText w:val=""/>
      <w:lvlJc w:val="left"/>
      <w:pPr>
        <w:ind w:left="4320" w:hanging="360"/>
      </w:pPr>
      <w:rPr>
        <w:rFonts w:ascii="Wingdings" w:hAnsi="Wingdings" w:hint="default"/>
      </w:rPr>
    </w:lvl>
    <w:lvl w:ilvl="6" w:tplc="C1624F04">
      <w:start w:val="1"/>
      <w:numFmt w:val="bullet"/>
      <w:lvlText w:val=""/>
      <w:lvlJc w:val="left"/>
      <w:pPr>
        <w:ind w:left="5040" w:hanging="360"/>
      </w:pPr>
      <w:rPr>
        <w:rFonts w:ascii="Symbol" w:hAnsi="Symbol" w:hint="default"/>
      </w:rPr>
    </w:lvl>
    <w:lvl w:ilvl="7" w:tplc="CB6EC39E">
      <w:start w:val="1"/>
      <w:numFmt w:val="bullet"/>
      <w:lvlText w:val="o"/>
      <w:lvlJc w:val="left"/>
      <w:pPr>
        <w:ind w:left="5760" w:hanging="360"/>
      </w:pPr>
      <w:rPr>
        <w:rFonts w:ascii="Courier New" w:hAnsi="Courier New" w:hint="default"/>
      </w:rPr>
    </w:lvl>
    <w:lvl w:ilvl="8" w:tplc="278A578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8"/>
  </w:num>
  <w:num w:numId="6">
    <w:abstractNumId w:val="0"/>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A0DFE31"/>
    <w:rsid w:val="00025952"/>
    <w:rsid w:val="00367817"/>
    <w:rsid w:val="00381973"/>
    <w:rsid w:val="005413CD"/>
    <w:rsid w:val="00910768"/>
    <w:rsid w:val="00916B4A"/>
    <w:rsid w:val="00AD7F32"/>
    <w:rsid w:val="00B63CE0"/>
    <w:rsid w:val="00B8498C"/>
    <w:rsid w:val="00B91E13"/>
    <w:rsid w:val="00DC0EC6"/>
    <w:rsid w:val="00E973FE"/>
    <w:rsid w:val="00EB798F"/>
    <w:rsid w:val="00FA57EF"/>
    <w:rsid w:val="02774E31"/>
    <w:rsid w:val="048112EB"/>
    <w:rsid w:val="1A0DFE31"/>
    <w:rsid w:val="2956FB9C"/>
    <w:rsid w:val="39BA3DAB"/>
    <w:rsid w:val="3ED0DE78"/>
    <w:rsid w:val="5F3C75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4C52C-68AF-465F-A358-BD1843AD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67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17"/>
  </w:style>
  <w:style w:type="paragraph" w:styleId="Footer">
    <w:name w:val="footer"/>
    <w:basedOn w:val="Normal"/>
    <w:link w:val="FooterChar"/>
    <w:uiPriority w:val="99"/>
    <w:unhideWhenUsed/>
    <w:rsid w:val="00367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ate-success.org.uk/" TargetMode="External"/><Relationship Id="rId13" Type="http://schemas.openxmlformats.org/officeDocument/2006/relationships/hyperlink" Target="https://eprints.soton.ac.uk/410997/" TargetMode="External"/><Relationship Id="rId18" Type="http://schemas.openxmlformats.org/officeDocument/2006/relationships/hyperlink" Target="https://luminate.prospects.ac.uk/what-employers-want-in-a-c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uttontrust.com/research-paper/internships-pay-as-you-go/" TargetMode="External"/><Relationship Id="rId7" Type="http://schemas.openxmlformats.org/officeDocument/2006/relationships/hyperlink" Target="https://www.agcas.org.uk/Knowledge-Centre/f4e4e48d-d0d1-40ec-975e-f0347d190210" TargetMode="External"/><Relationship Id="rId12" Type="http://schemas.openxmlformats.org/officeDocument/2006/relationships/hyperlink" Target="https://warwick.ac.uk/fac/soc/ier/futuretrack/findings/" TargetMode="External"/><Relationship Id="rId17" Type="http://schemas.openxmlformats.org/officeDocument/2006/relationships/hyperlink" Target="https://derby.openrepository.com/bitstream/handle/10545/581890/who+wins+the+rat+race.pdf?sequence=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te-group.co.uk/universities/student-resilience-exploring-positive-case-resilience" TargetMode="External"/><Relationship Id="rId20" Type="http://schemas.openxmlformats.org/officeDocument/2006/relationships/hyperlink" Target="https://www.highflier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by.openrepository.com/bitstream/handle/10545/581890/who+wins+the+rat+race.pdf?sequence=1" TargetMode="External"/><Relationship Id="rId24" Type="http://schemas.openxmlformats.org/officeDocument/2006/relationships/hyperlink" Target="https://luminate.prospects.ac.uk/how-should-universities-teach-employability" TargetMode="External"/><Relationship Id="rId5" Type="http://schemas.openxmlformats.org/officeDocument/2006/relationships/footnotes" Target="footnotes.xml"/><Relationship Id="rId15" Type="http://schemas.openxmlformats.org/officeDocument/2006/relationships/hyperlink" Target="https://luminate.prospects.ac.uk/exploring-hesitant-students-perceptions-of-career-planning" TargetMode="External"/><Relationship Id="rId23" Type="http://schemas.openxmlformats.org/officeDocument/2006/relationships/hyperlink" Target="https://luminate.prospects.ac.uk/whats-the-best-way-to-teach-employability" TargetMode="External"/><Relationship Id="rId10" Type="http://schemas.openxmlformats.org/officeDocument/2006/relationships/hyperlink" Target="https://luminate.prospects.ac.uk/careers-education-are-we-preaching-to-the-converted" TargetMode="External"/><Relationship Id="rId19" Type="http://schemas.openxmlformats.org/officeDocument/2006/relationships/hyperlink" Target="https://luminate.prospects.ac.uk/what-do-graduates-do" TargetMode="External"/><Relationship Id="rId4" Type="http://schemas.openxmlformats.org/officeDocument/2006/relationships/webSettings" Target="webSettings.xml"/><Relationship Id="rId9" Type="http://schemas.openxmlformats.org/officeDocument/2006/relationships/hyperlink" Target="https://luminate.prospects.ac.uk/impact-of-careers-education-on-graduate-success" TargetMode="External"/><Relationship Id="rId14" Type="http://schemas.openxmlformats.org/officeDocument/2006/relationships/hyperlink" Target="https://luminate.prospects.ac.uk/what-factors-contribute-to-a-successful-graduate-transition" TargetMode="External"/><Relationship Id="rId22" Type="http://schemas.openxmlformats.org/officeDocument/2006/relationships/hyperlink" Target="https://www.gov.uk/government/publications/current-and-future-demand-for-digital-skills-in-the-workpla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Kerley, Laura</dc:creator>
  <cp:lastModifiedBy>Davies, Jack</cp:lastModifiedBy>
  <cp:revision>1</cp:revision>
  <dcterms:created xsi:type="dcterms:W3CDTF">2019-09-17T13:59:00Z</dcterms:created>
  <dcterms:modified xsi:type="dcterms:W3CDTF">2019-09-17T13:59:00Z</dcterms:modified>
</cp:coreProperties>
</file>