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358A25AB" w:rsidR="000867AA" w:rsidRDefault="00314FF4" w:rsidP="00AC11AA">
      <w:pPr>
        <w:jc w:val="center"/>
        <w:rPr>
          <w:b/>
          <w:bCs/>
          <w:sz w:val="28"/>
          <w:szCs w:val="28"/>
        </w:rPr>
      </w:pPr>
      <w:r>
        <w:rPr>
          <w:b/>
          <w:bCs/>
          <w:sz w:val="28"/>
          <w:szCs w:val="28"/>
        </w:rPr>
        <w:t xml:space="preserve">EABs: </w:t>
      </w:r>
      <w:r w:rsidR="0094331C" w:rsidRPr="00314FF4">
        <w:rPr>
          <w:b/>
          <w:bCs/>
          <w:sz w:val="28"/>
          <w:szCs w:val="28"/>
        </w:rPr>
        <w:t>Implementation plan</w:t>
      </w:r>
    </w:p>
    <w:tbl>
      <w:tblPr>
        <w:tblStyle w:val="TableGrid"/>
        <w:tblW w:w="0" w:type="auto"/>
        <w:tblLook w:val="04A0" w:firstRow="1" w:lastRow="0" w:firstColumn="1" w:lastColumn="0" w:noHBand="0" w:noVBand="1"/>
      </w:tblPr>
      <w:tblGrid>
        <w:gridCol w:w="1129"/>
        <w:gridCol w:w="5245"/>
        <w:gridCol w:w="4678"/>
        <w:gridCol w:w="4336"/>
      </w:tblGrid>
      <w:tr w:rsidR="00BE2B3D" w14:paraId="502B38B5" w14:textId="77777777" w:rsidTr="00A92E89">
        <w:tc>
          <w:tcPr>
            <w:tcW w:w="1129" w:type="dxa"/>
            <w:shd w:val="clear" w:color="auto" w:fill="D9D9D9" w:themeFill="background1" w:themeFillShade="D9"/>
          </w:tcPr>
          <w:p w14:paraId="5BAE5506" w14:textId="69FEEA1F" w:rsidR="00BE2B3D" w:rsidRPr="00BE2B3D" w:rsidRDefault="00BE2B3D" w:rsidP="00AC11AA">
            <w:pPr>
              <w:jc w:val="center"/>
              <w:rPr>
                <w:b/>
                <w:bCs/>
              </w:rPr>
            </w:pPr>
            <w:r w:rsidRPr="00BE2B3D">
              <w:rPr>
                <w:b/>
                <w:bCs/>
              </w:rPr>
              <w:t xml:space="preserve">Category </w:t>
            </w:r>
          </w:p>
        </w:tc>
        <w:tc>
          <w:tcPr>
            <w:tcW w:w="5245" w:type="dxa"/>
          </w:tcPr>
          <w:p w14:paraId="0C757BAE" w14:textId="77777777" w:rsidR="00BE2B3D" w:rsidRDefault="00BE2B3D" w:rsidP="00BE2B3D">
            <w:pPr>
              <w:jc w:val="center"/>
              <w:rPr>
                <w:b/>
                <w:bCs/>
              </w:rPr>
            </w:pPr>
            <w:r w:rsidRPr="00BE2B3D">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B3D">
              <w:rPr>
                <w:b/>
                <w:bCs/>
              </w:rPr>
              <w:t xml:space="preserve">Starting from scratch </w:t>
            </w:r>
          </w:p>
          <w:p w14:paraId="1E750BE5" w14:textId="717A8A78" w:rsidR="00BE2B3D" w:rsidRPr="00BE2B3D" w:rsidRDefault="00BE2B3D" w:rsidP="00BE2B3D">
            <w:pPr>
              <w:jc w:val="center"/>
            </w:pPr>
            <w:r w:rsidRPr="00BE2B3D">
              <w:rPr>
                <w:b/>
                <w:bCs/>
              </w:rPr>
              <w:t>(</w:t>
            </w:r>
            <w:r>
              <w:rPr>
                <w:b/>
                <w:bCs/>
              </w:rPr>
              <w:t>N</w:t>
            </w:r>
            <w:r w:rsidRPr="00BE2B3D">
              <w:rPr>
                <w:b/>
                <w:bCs/>
              </w:rPr>
              <w:t>eed to start now)</w:t>
            </w:r>
          </w:p>
        </w:tc>
        <w:tc>
          <w:tcPr>
            <w:tcW w:w="4678" w:type="dxa"/>
          </w:tcPr>
          <w:p w14:paraId="53BF62F7" w14:textId="77777777" w:rsidR="00BE2B3D" w:rsidRDefault="00BE2B3D" w:rsidP="00BE2B3D">
            <w:pPr>
              <w:jc w:val="center"/>
              <w:rPr>
                <w:b/>
                <w:bCs/>
              </w:rPr>
            </w:pPr>
            <w:r w:rsidRPr="00BE2B3D">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B3D">
              <w:rPr>
                <w:b/>
                <w:bCs/>
              </w:rPr>
              <w:t xml:space="preserve">Have EAB but weak HSE outcomes </w:t>
            </w:r>
          </w:p>
          <w:p w14:paraId="0B561727" w14:textId="6B87CC8E" w:rsidR="00BE2B3D" w:rsidRPr="00BE2B3D" w:rsidRDefault="00BE2B3D" w:rsidP="00BE2B3D">
            <w:pPr>
              <w:jc w:val="center"/>
              <w:rPr>
                <w:b/>
                <w:bCs/>
              </w:rPr>
            </w:pPr>
            <w:r w:rsidRPr="00BE2B3D">
              <w:rPr>
                <w:b/>
                <w:bCs/>
              </w:rPr>
              <w:t>(It’s time to change)</w:t>
            </w:r>
          </w:p>
        </w:tc>
        <w:tc>
          <w:tcPr>
            <w:tcW w:w="4336" w:type="dxa"/>
          </w:tcPr>
          <w:p w14:paraId="00C2E72C" w14:textId="169023CE" w:rsidR="00BE2B3D" w:rsidRPr="00CC6569" w:rsidRDefault="00BE2B3D" w:rsidP="00BE2B3D">
            <w:pPr>
              <w:jc w:val="center"/>
              <w:rPr>
                <w:highlight w:val="lightGray"/>
              </w:rPr>
            </w:pPr>
            <w:r w:rsidRPr="00CC6569">
              <w:rPr>
                <w:b/>
                <w:bCs/>
                <w:highlight w:val="lightGray"/>
              </w:rPr>
              <w:t>Have an established EAB and good HSE (Need to review)</w:t>
            </w:r>
            <w:r w:rsidRPr="00CC6569">
              <w:rPr>
                <w:noProof/>
                <w:highlight w:val="lightGray"/>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14:paraId="3F33C560" w14:textId="77777777" w:rsidTr="00A92E89">
        <w:tc>
          <w:tcPr>
            <w:tcW w:w="1129" w:type="dxa"/>
            <w:shd w:val="clear" w:color="auto" w:fill="D9D9D9" w:themeFill="background1" w:themeFillShade="D9"/>
          </w:tcPr>
          <w:p w14:paraId="095804B8" w14:textId="707749D0" w:rsidR="00BE2B3D" w:rsidRPr="00BE2B3D" w:rsidRDefault="00BE2B3D" w:rsidP="00BE2B3D">
            <w:pPr>
              <w:jc w:val="center"/>
              <w:rPr>
                <w:b/>
                <w:bCs/>
              </w:rPr>
            </w:pPr>
            <w:r w:rsidRPr="00BE2B3D">
              <w:rPr>
                <w:b/>
                <w:bCs/>
              </w:rPr>
              <w:t xml:space="preserve">Next steps </w:t>
            </w:r>
          </w:p>
        </w:tc>
        <w:tc>
          <w:tcPr>
            <w:tcW w:w="5245" w:type="dxa"/>
            <w:shd w:val="clear" w:color="auto" w:fill="FFFFFF" w:themeFill="background1"/>
          </w:tcPr>
          <w:p w14:paraId="10125F2C" w14:textId="77777777" w:rsidR="00BE2B3D" w:rsidRPr="00BE2B3D" w:rsidRDefault="00BE2B3D" w:rsidP="00BE2B3D">
            <w:r w:rsidRPr="00BE2B3D">
              <w:t xml:space="preserve">- Need an employer board in next academic year </w:t>
            </w:r>
          </w:p>
          <w:p w14:paraId="2BD9C685" w14:textId="77777777" w:rsidR="00BE2B3D" w:rsidRPr="00BE2B3D" w:rsidRDefault="00BE2B3D" w:rsidP="00BE2B3D">
            <w:r w:rsidRPr="00BE2B3D">
              <w:t>- Templates and training (June/July) to save you time – but NOT there to dictate</w:t>
            </w:r>
          </w:p>
          <w:p w14:paraId="5CA1A43F" w14:textId="77777777" w:rsidR="00BE2B3D" w:rsidRPr="00BE2B3D" w:rsidRDefault="00BE2B3D" w:rsidP="00BE2B3D">
            <w:r w:rsidRPr="00BE2B3D">
              <w:t>- Use timeline to work out what you need to do NOW</w:t>
            </w:r>
          </w:p>
          <w:p w14:paraId="4026ED1D" w14:textId="77777777" w:rsidR="00BE2B3D" w:rsidRPr="00BE2B3D" w:rsidRDefault="00BE2B3D" w:rsidP="00BE2B3D">
            <w:r w:rsidRPr="00BE2B3D">
              <w:t xml:space="preserve">- Attend existing successful board to observe and learn </w:t>
            </w:r>
          </w:p>
          <w:p w14:paraId="30633E6A" w14:textId="77777777" w:rsidR="00BE2B3D" w:rsidRPr="00BE2B3D" w:rsidRDefault="00BE2B3D" w:rsidP="00BE2B3D">
            <w:r w:rsidRPr="00BE2B3D">
              <w:t>- Better to do one well in March 2020 than doing it badly in Sep</w:t>
            </w:r>
          </w:p>
          <w:p w14:paraId="6A5E29EB" w14:textId="77777777" w:rsidR="00BE2B3D" w:rsidRPr="00BE2B3D" w:rsidRDefault="00BE2B3D" w:rsidP="00BE2B3D">
            <w:r w:rsidRPr="00BE2B3D">
              <w:t xml:space="preserve">- Choose employer ‘friendly’ staff to lead/chair groups </w:t>
            </w:r>
          </w:p>
          <w:p w14:paraId="252B5AAA" w14:textId="397B0C2A" w:rsidR="00BE2B3D" w:rsidRPr="00BE2B3D" w:rsidRDefault="00BE2B3D" w:rsidP="00BE2B3D">
            <w:r w:rsidRPr="00BE2B3D">
              <w:t xml:space="preserve">- Keep it simple  </w:t>
            </w:r>
          </w:p>
        </w:tc>
        <w:tc>
          <w:tcPr>
            <w:tcW w:w="4678" w:type="dxa"/>
            <w:shd w:val="clear" w:color="auto" w:fill="FFFFFF" w:themeFill="background1"/>
          </w:tcPr>
          <w:p w14:paraId="408E8166" w14:textId="77777777" w:rsidR="00BE2B3D" w:rsidRPr="00BE2B3D" w:rsidRDefault="00BE2B3D" w:rsidP="00BE2B3D">
            <w:r w:rsidRPr="00BE2B3D">
              <w:t xml:space="preserve">- You need a plan </w:t>
            </w:r>
          </w:p>
          <w:p w14:paraId="3606ED3D" w14:textId="77777777" w:rsidR="00BE2B3D" w:rsidRPr="00BE2B3D" w:rsidRDefault="00BE2B3D" w:rsidP="00BE2B3D">
            <w:r w:rsidRPr="00BE2B3D">
              <w:t xml:space="preserve">- Refocus current EAB on HSE or create a complementary one focussed on HSE </w:t>
            </w:r>
          </w:p>
          <w:p w14:paraId="42C80611" w14:textId="77777777" w:rsidR="00BE2B3D" w:rsidRPr="00BE2B3D" w:rsidRDefault="00BE2B3D" w:rsidP="00BE2B3D">
            <w:r w:rsidRPr="00BE2B3D">
              <w:t xml:space="preserve">- Use templates, tips and training (June/July) to help you do this quickly and think differently  </w:t>
            </w:r>
          </w:p>
          <w:p w14:paraId="0B41E1B6" w14:textId="7B82438D" w:rsidR="00BE2B3D" w:rsidRPr="00BE2B3D" w:rsidRDefault="00BE2B3D" w:rsidP="00BE2B3D">
            <w:r w:rsidRPr="00BE2B3D">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CC6569" w:rsidRDefault="00BE2B3D" w:rsidP="00BE2B3D">
            <w:pPr>
              <w:rPr>
                <w:highlight w:val="lightGray"/>
              </w:rPr>
            </w:pPr>
            <w:r w:rsidRPr="00CC6569">
              <w:rPr>
                <w:highlight w:val="lightGray"/>
              </w:rPr>
              <w:t xml:space="preserve">- Opportune time to reflect, refresh, review, critique  </w:t>
            </w:r>
          </w:p>
          <w:p w14:paraId="01AEE0C7" w14:textId="77777777" w:rsidR="00BE2B3D" w:rsidRPr="00CC6569" w:rsidRDefault="00BE2B3D" w:rsidP="00BE2B3D">
            <w:pPr>
              <w:rPr>
                <w:highlight w:val="lightGray"/>
              </w:rPr>
            </w:pPr>
            <w:r w:rsidRPr="00CC6569">
              <w:rPr>
                <w:highlight w:val="lightGray"/>
              </w:rPr>
              <w:t xml:space="preserve">- Look at your membership mix, tenure, sector and diversity representation </w:t>
            </w:r>
          </w:p>
          <w:p w14:paraId="2CF1F44E" w14:textId="77777777" w:rsidR="00BE2B3D" w:rsidRPr="00CC6569" w:rsidRDefault="00BE2B3D" w:rsidP="00BE2B3D">
            <w:pPr>
              <w:rPr>
                <w:highlight w:val="lightGray"/>
              </w:rPr>
            </w:pPr>
            <w:r w:rsidRPr="00CC6569">
              <w:rPr>
                <w:highlight w:val="lightGray"/>
              </w:rPr>
              <w:t xml:space="preserve">- Can you leverage these boards more for brand advocacy, research, knowledge transfer, student recruitment or more? </w:t>
            </w:r>
          </w:p>
          <w:p w14:paraId="59362F26" w14:textId="77777777" w:rsidR="00BE2B3D" w:rsidRPr="00CC6569" w:rsidRDefault="00BE2B3D" w:rsidP="00BE2B3D">
            <w:pPr>
              <w:rPr>
                <w:highlight w:val="lightGray"/>
              </w:rPr>
            </w:pPr>
            <w:r w:rsidRPr="00CC6569">
              <w:rPr>
                <w:highlight w:val="lightGray"/>
              </w:rPr>
              <w:t xml:space="preserve">- Are they lively, engaging and memorable?  </w:t>
            </w:r>
          </w:p>
          <w:p w14:paraId="797CAE33" w14:textId="0EA3B239" w:rsidR="00BE2B3D" w:rsidRPr="00CC6569" w:rsidRDefault="00BE2B3D" w:rsidP="00A92E89">
            <w:pPr>
              <w:rPr>
                <w:highlight w:val="lightGray"/>
              </w:rPr>
            </w:pPr>
            <w:r w:rsidRPr="00CC6569">
              <w:rPr>
                <w:highlight w:val="lightGray"/>
              </w:rPr>
              <w:t xml:space="preserve">- Tips and best practice ideas can help </w:t>
            </w:r>
            <w:bookmarkStart w:id="0" w:name="_GoBack"/>
            <w:bookmarkEnd w:id="0"/>
          </w:p>
        </w:tc>
      </w:tr>
    </w:tbl>
    <w:p w14:paraId="6082F685" w14:textId="77777777" w:rsidR="00432FB3" w:rsidRDefault="00432FB3" w:rsidP="00AC11AA">
      <w:pPr>
        <w:jc w:val="center"/>
        <w:rPr>
          <w:b/>
          <w:bCs/>
          <w:sz w:val="28"/>
          <w:szCs w:val="28"/>
        </w:rPr>
      </w:pPr>
    </w:p>
    <w:p w14:paraId="6B6ED0E6" w14:textId="48B19F2B" w:rsidR="00241985" w:rsidRDefault="00432FB3" w:rsidP="00AC11AA">
      <w:pPr>
        <w:jc w:val="center"/>
        <w:rPr>
          <w:b/>
          <w:bCs/>
          <w:sz w:val="28"/>
          <w:szCs w:val="28"/>
        </w:rPr>
      </w:pPr>
      <w:r>
        <w:rPr>
          <w:b/>
          <w:bCs/>
          <w:sz w:val="28"/>
          <w:szCs w:val="28"/>
        </w:rPr>
        <w:t>Department of Biosciences and Chemistry</w:t>
      </w:r>
    </w:p>
    <w:p w14:paraId="613413DA" w14:textId="1B3843AE" w:rsidR="00432FB3" w:rsidRDefault="00432FB3" w:rsidP="00432FB3">
      <w:pPr>
        <w:rPr>
          <w:b/>
          <w:bCs/>
        </w:rPr>
      </w:pPr>
      <w:r w:rsidRPr="00432FB3">
        <w:rPr>
          <w:b/>
          <w:bCs/>
        </w:rPr>
        <w:t>Introduction</w:t>
      </w:r>
    </w:p>
    <w:p w14:paraId="58892B3F" w14:textId="1BF8BD83" w:rsidR="00432FB3" w:rsidRDefault="00432FB3" w:rsidP="00064EB4">
      <w:r w:rsidRPr="00432FB3">
        <w:t xml:space="preserve">The Department of Biosciences and Chemistry </w:t>
      </w:r>
      <w:r>
        <w:t xml:space="preserve">has operated an Employer Advisory Board (named the Pharmaceutical and Biosciences Sector Forum) since 2009. The remit and constitution of the board is shown in Appendix 1. The work of the board underpins all undergraduate </w:t>
      </w:r>
      <w:r w:rsidR="00064EB4">
        <w:t xml:space="preserve">and postgraduate </w:t>
      </w:r>
      <w:r>
        <w:t>courses in the Department</w:t>
      </w:r>
      <w:r w:rsidR="00064EB4">
        <w:t xml:space="preserve">. </w:t>
      </w:r>
      <w:proofErr w:type="gramStart"/>
      <w:r w:rsidR="00064EB4">
        <w:t>the</w:t>
      </w:r>
      <w:proofErr w:type="gramEnd"/>
      <w:r w:rsidR="00064EB4">
        <w:t xml:space="preserve"> undergraduate courses </w:t>
      </w:r>
      <w:r>
        <w:t>are</w:t>
      </w:r>
    </w:p>
    <w:p w14:paraId="6A22E006" w14:textId="4B0C265C" w:rsidR="00432FB3" w:rsidRDefault="00432FB3" w:rsidP="001D770E">
      <w:pPr>
        <w:pStyle w:val="NoSpacing"/>
      </w:pPr>
      <w:r>
        <w:t>BSc/</w:t>
      </w:r>
      <w:proofErr w:type="spellStart"/>
      <w:r>
        <w:t>MSci</w:t>
      </w:r>
      <w:proofErr w:type="spellEnd"/>
      <w:r>
        <w:t xml:space="preserve"> Biochemistry</w:t>
      </w:r>
    </w:p>
    <w:p w14:paraId="328FA07A" w14:textId="3E6F4592" w:rsidR="00432FB3" w:rsidRDefault="00432FB3" w:rsidP="001D770E">
      <w:pPr>
        <w:pStyle w:val="NoSpacing"/>
      </w:pPr>
      <w:r>
        <w:t>BSc/</w:t>
      </w:r>
      <w:proofErr w:type="spellStart"/>
      <w:r>
        <w:t>MSci</w:t>
      </w:r>
      <w:proofErr w:type="spellEnd"/>
      <w:r>
        <w:t xml:space="preserve"> Biology</w:t>
      </w:r>
    </w:p>
    <w:p w14:paraId="2C28808C" w14:textId="3B82C3D8" w:rsidR="00432FB3" w:rsidRDefault="00432FB3" w:rsidP="001D770E">
      <w:pPr>
        <w:pStyle w:val="NoSpacing"/>
      </w:pPr>
      <w:r>
        <w:t>BSc/</w:t>
      </w:r>
      <w:proofErr w:type="spellStart"/>
      <w:proofErr w:type="gramStart"/>
      <w:r>
        <w:t>MSci</w:t>
      </w:r>
      <w:proofErr w:type="spellEnd"/>
      <w:r>
        <w:t xml:space="preserve">  Biomedical</w:t>
      </w:r>
      <w:proofErr w:type="gramEnd"/>
      <w:r>
        <w:t xml:space="preserve"> Science</w:t>
      </w:r>
    </w:p>
    <w:p w14:paraId="22A0032C" w14:textId="5F2FE29D" w:rsidR="00432FB3" w:rsidRDefault="00432FB3" w:rsidP="001D770E">
      <w:pPr>
        <w:pStyle w:val="NoSpacing"/>
      </w:pPr>
      <w:r>
        <w:t>BSc/</w:t>
      </w:r>
      <w:proofErr w:type="spellStart"/>
      <w:r>
        <w:t>MSci</w:t>
      </w:r>
      <w:proofErr w:type="spellEnd"/>
      <w:r>
        <w:t xml:space="preserve"> Human Biology</w:t>
      </w:r>
    </w:p>
    <w:p w14:paraId="6FA67052" w14:textId="23FF118A" w:rsidR="00432FB3" w:rsidRDefault="00432FB3" w:rsidP="001D770E">
      <w:pPr>
        <w:pStyle w:val="NoSpacing"/>
      </w:pPr>
      <w:proofErr w:type="gramStart"/>
      <w:r>
        <w:t>BSc/</w:t>
      </w:r>
      <w:proofErr w:type="spellStart"/>
      <w:r>
        <w:t>MChem</w:t>
      </w:r>
      <w:proofErr w:type="spellEnd"/>
      <w:r>
        <w:t xml:space="preserve"> Chemistry.</w:t>
      </w:r>
      <w:proofErr w:type="gramEnd"/>
    </w:p>
    <w:p w14:paraId="58B9E986" w14:textId="77777777" w:rsidR="001D770E" w:rsidRDefault="001D770E" w:rsidP="001D770E">
      <w:pPr>
        <w:pStyle w:val="NoSpacing"/>
      </w:pPr>
    </w:p>
    <w:p w14:paraId="306CD1F4" w14:textId="7A18DE01" w:rsidR="00432FB3" w:rsidRDefault="00432FB3" w:rsidP="00064EB4">
      <w:pPr>
        <w:spacing w:line="240" w:lineRule="auto"/>
      </w:pPr>
      <w:r>
        <w:t>The data for the destinations of</w:t>
      </w:r>
      <w:r w:rsidR="00FE0E7E">
        <w:t xml:space="preserve"> Bioscience and Chemistry  graduates suggest that the</w:t>
      </w:r>
      <w:r>
        <w:t xml:space="preserve"> </w:t>
      </w:r>
      <w:r w:rsidRPr="00432FB3">
        <w:t>Highly Skilled Employment</w:t>
      </w:r>
      <w:r>
        <w:t xml:space="preserve"> </w:t>
      </w:r>
      <w:r w:rsidR="00FE0E7E">
        <w:t xml:space="preserve">levels of our graduates is better than our benchmark institutions </w:t>
      </w:r>
      <w:r>
        <w:t>(we have a positive flag for this in the TEF analysis).</w:t>
      </w:r>
      <w:r w:rsidR="00064EB4">
        <w:t xml:space="preserve"> </w:t>
      </w:r>
      <w:proofErr w:type="gramStart"/>
      <w:r w:rsidR="00064EB4">
        <w:t>However  we</w:t>
      </w:r>
      <w:proofErr w:type="gramEnd"/>
      <w:r w:rsidR="00064EB4">
        <w:t xml:space="preserve"> still wish to enhance this activity in the Department</w:t>
      </w:r>
      <w:r w:rsidR="00FE0E7E">
        <w:t>.</w:t>
      </w:r>
    </w:p>
    <w:p w14:paraId="3655A92C" w14:textId="77777777" w:rsidR="00432FB3" w:rsidRDefault="00432FB3" w:rsidP="00432FB3">
      <w:pPr>
        <w:spacing w:line="240" w:lineRule="auto"/>
      </w:pPr>
      <w:r>
        <w:t>In response to the University initiative on EABs we have taken a number of actions which are listed in the table below.</w:t>
      </w:r>
    </w:p>
    <w:p w14:paraId="02B2E4C5" w14:textId="0F47CA8A" w:rsidR="00432FB3" w:rsidRPr="00432FB3" w:rsidRDefault="00432FB3" w:rsidP="00432FB3">
      <w:pPr>
        <w:spacing w:line="240" w:lineRule="auto"/>
      </w:pPr>
      <w:r>
        <w:t xml:space="preserve"> </w:t>
      </w:r>
    </w:p>
    <w:p w14:paraId="214D0334" w14:textId="77777777" w:rsidR="00432FB3" w:rsidRPr="00432FB3" w:rsidRDefault="00432FB3" w:rsidP="00432FB3">
      <w:pPr>
        <w:rPr>
          <w:b/>
          <w:bCs/>
        </w:rPr>
      </w:pPr>
    </w:p>
    <w:tbl>
      <w:tblPr>
        <w:tblStyle w:val="TableGrid"/>
        <w:tblpPr w:leftFromText="180" w:rightFromText="180" w:horzAnchor="margin" w:tblpY="720"/>
        <w:tblW w:w="15203" w:type="dxa"/>
        <w:tblLook w:val="04A0" w:firstRow="1" w:lastRow="0" w:firstColumn="1" w:lastColumn="0" w:noHBand="0" w:noVBand="1"/>
      </w:tblPr>
      <w:tblGrid>
        <w:gridCol w:w="2639"/>
        <w:gridCol w:w="8886"/>
        <w:gridCol w:w="2263"/>
        <w:gridCol w:w="1415"/>
      </w:tblGrid>
      <w:tr w:rsidR="00FA6A93" w14:paraId="6E0F8EBB" w14:textId="43AC360D" w:rsidTr="00FA6A93">
        <w:trPr>
          <w:trHeight w:val="760"/>
        </w:trPr>
        <w:tc>
          <w:tcPr>
            <w:tcW w:w="2639" w:type="dxa"/>
          </w:tcPr>
          <w:p w14:paraId="1B6AA6EA" w14:textId="75392751" w:rsidR="00FA6A93" w:rsidRPr="00AC11AA" w:rsidRDefault="00FA6A93" w:rsidP="00FA6A93">
            <w:pPr>
              <w:rPr>
                <w:b/>
                <w:bCs/>
                <w:sz w:val="28"/>
                <w:szCs w:val="28"/>
              </w:rPr>
            </w:pPr>
            <w:r>
              <w:rPr>
                <w:b/>
                <w:bCs/>
                <w:sz w:val="28"/>
                <w:szCs w:val="28"/>
              </w:rPr>
              <w:lastRenderedPageBreak/>
              <w:t xml:space="preserve">Category </w:t>
            </w:r>
          </w:p>
        </w:tc>
        <w:tc>
          <w:tcPr>
            <w:tcW w:w="8886" w:type="dxa"/>
          </w:tcPr>
          <w:p w14:paraId="65921AE0" w14:textId="30959504" w:rsidR="00FA6A93" w:rsidRPr="00AC11AA" w:rsidRDefault="00FA6A93" w:rsidP="00FA6A93">
            <w:pPr>
              <w:rPr>
                <w:b/>
                <w:bCs/>
                <w:sz w:val="28"/>
                <w:szCs w:val="28"/>
              </w:rPr>
            </w:pPr>
            <w:r>
              <w:rPr>
                <w:b/>
                <w:bCs/>
                <w:sz w:val="28"/>
                <w:szCs w:val="28"/>
              </w:rPr>
              <w:t xml:space="preserve">Actions </w:t>
            </w:r>
          </w:p>
        </w:tc>
        <w:tc>
          <w:tcPr>
            <w:tcW w:w="2263" w:type="dxa"/>
          </w:tcPr>
          <w:p w14:paraId="311DE23C" w14:textId="16FC29D0" w:rsidR="00FA6A93" w:rsidRPr="00AC11AA" w:rsidRDefault="00FA6A93" w:rsidP="00FA6A93">
            <w:pPr>
              <w:rPr>
                <w:b/>
                <w:bCs/>
                <w:sz w:val="28"/>
                <w:szCs w:val="28"/>
              </w:rPr>
            </w:pPr>
            <w:r>
              <w:rPr>
                <w:b/>
                <w:bCs/>
                <w:sz w:val="28"/>
                <w:szCs w:val="28"/>
              </w:rPr>
              <w:t xml:space="preserve">Timescale </w:t>
            </w:r>
          </w:p>
        </w:tc>
        <w:tc>
          <w:tcPr>
            <w:tcW w:w="1415" w:type="dxa"/>
          </w:tcPr>
          <w:p w14:paraId="627CEFFC" w14:textId="1FE4A028" w:rsidR="00FA6A93" w:rsidRPr="00AC11AA" w:rsidRDefault="00FA6A93" w:rsidP="00FA6A93">
            <w:pPr>
              <w:jc w:val="center"/>
              <w:rPr>
                <w:b/>
                <w:bCs/>
                <w:sz w:val="28"/>
                <w:szCs w:val="28"/>
              </w:rPr>
            </w:pPr>
            <w:r>
              <w:rPr>
                <w:b/>
                <w:bCs/>
                <w:sz w:val="28"/>
                <w:szCs w:val="28"/>
              </w:rPr>
              <w:t xml:space="preserve">Owner </w:t>
            </w:r>
          </w:p>
        </w:tc>
      </w:tr>
      <w:tr w:rsidR="00FA6A93" w14:paraId="7C8947D6" w14:textId="3071D869" w:rsidTr="00FA6A93">
        <w:trPr>
          <w:trHeight w:val="4947"/>
        </w:trPr>
        <w:tc>
          <w:tcPr>
            <w:tcW w:w="2639" w:type="dxa"/>
          </w:tcPr>
          <w:p w14:paraId="71DBD9D0" w14:textId="77777777" w:rsidR="00FA6A93" w:rsidRDefault="00FA6A93" w:rsidP="00FA6A93">
            <w:r>
              <w:t xml:space="preserve">Recruitment of Board members </w:t>
            </w:r>
          </w:p>
          <w:p w14:paraId="1A3FEBF0" w14:textId="77777777" w:rsidR="00FA6A93" w:rsidRDefault="00FA6A93" w:rsidP="00FA6A93"/>
          <w:p w14:paraId="13666F03" w14:textId="77777777" w:rsidR="00FA6A93" w:rsidRDefault="00FA6A93" w:rsidP="00FA6A93">
            <w:r>
              <w:t>Review of remit of the Board</w:t>
            </w:r>
          </w:p>
          <w:p w14:paraId="5BBD8866" w14:textId="77777777" w:rsidR="00FA6A93" w:rsidRDefault="00FA6A93" w:rsidP="00FA6A93"/>
          <w:p w14:paraId="096571D6" w14:textId="77777777" w:rsidR="00FA6A93" w:rsidRDefault="00FA6A93" w:rsidP="00FA6A93">
            <w:r>
              <w:t xml:space="preserve">Visibility of the Board to students and Staff </w:t>
            </w:r>
          </w:p>
          <w:p w14:paraId="13CCDEF5" w14:textId="77777777" w:rsidR="001D770E" w:rsidRDefault="001D770E" w:rsidP="00FA6A93"/>
          <w:p w14:paraId="35922A08" w14:textId="77777777" w:rsidR="001D770E" w:rsidRDefault="001D770E" w:rsidP="00FA6A93"/>
          <w:p w14:paraId="43634441" w14:textId="77777777" w:rsidR="001D770E" w:rsidRDefault="001D770E" w:rsidP="00FA6A93"/>
          <w:p w14:paraId="523E592A" w14:textId="77777777" w:rsidR="001D770E" w:rsidRDefault="001D770E" w:rsidP="00FA6A93"/>
          <w:p w14:paraId="3CEF7B25" w14:textId="77777777" w:rsidR="001D770E" w:rsidRDefault="001D770E" w:rsidP="00FA6A93"/>
          <w:p w14:paraId="642F6765" w14:textId="31B54861" w:rsidR="001D770E" w:rsidRDefault="001D770E" w:rsidP="00FA6A93">
            <w:r>
              <w:t>Increased working with specific companies</w:t>
            </w:r>
          </w:p>
        </w:tc>
        <w:tc>
          <w:tcPr>
            <w:tcW w:w="8886" w:type="dxa"/>
          </w:tcPr>
          <w:p w14:paraId="0ABA833D" w14:textId="77777777" w:rsidR="00FA6A93" w:rsidRDefault="00FA6A93" w:rsidP="00FA6A93">
            <w:r>
              <w:t>Continue to review the constitution of the Board and add external members if opportunity arises.</w:t>
            </w:r>
          </w:p>
          <w:p w14:paraId="0CD86CDF" w14:textId="77777777" w:rsidR="00FA6A93" w:rsidRDefault="00FA6A93" w:rsidP="00FA6A93"/>
          <w:p w14:paraId="4C40B26F" w14:textId="273621D6" w:rsidR="00FA6A93" w:rsidRDefault="00064EB4" w:rsidP="00FA6A93">
            <w:r>
              <w:t>Ensure the remit of the Board</w:t>
            </w:r>
            <w:r w:rsidR="00FA6A93">
              <w:t xml:space="preserve"> implicitly include</w:t>
            </w:r>
            <w:r>
              <w:t>s</w:t>
            </w:r>
            <w:r w:rsidR="00FA6A93">
              <w:t xml:space="preserve"> activities to enhance graduate employment </w:t>
            </w:r>
          </w:p>
          <w:p w14:paraId="690A1FA4" w14:textId="77777777" w:rsidR="00FA6A93" w:rsidRDefault="00FA6A93" w:rsidP="00FA6A93"/>
          <w:p w14:paraId="446CD62E" w14:textId="77777777" w:rsidR="00FA6A93" w:rsidRDefault="00FA6A93" w:rsidP="00FA6A93"/>
          <w:p w14:paraId="14259308" w14:textId="77777777" w:rsidR="00FA6A93" w:rsidRDefault="00FA6A93" w:rsidP="00FA6A93">
            <w:r>
              <w:t>All external members to provide a short bibliography and photograph of themselves to be amalgamated into a publicity document for students and staff</w:t>
            </w:r>
          </w:p>
          <w:p w14:paraId="00864658" w14:textId="77777777" w:rsidR="00FA6A93" w:rsidRDefault="00FA6A93" w:rsidP="00FA6A93"/>
          <w:p w14:paraId="12A68DC7" w14:textId="03C072FA" w:rsidR="00FA6A93" w:rsidRDefault="00FA6A93" w:rsidP="00064EB4">
            <w:r>
              <w:t>External members to review and e</w:t>
            </w:r>
            <w:r w:rsidR="001D770E">
              <w:t xml:space="preserve">ndorse the applied and authentic work experience activity incorporated into year 1 </w:t>
            </w:r>
            <w:proofErr w:type="spellStart"/>
            <w:r w:rsidR="001D770E">
              <w:t>practicals</w:t>
            </w:r>
            <w:proofErr w:type="spellEnd"/>
            <w:r w:rsidR="001D770E">
              <w:t xml:space="preserve"> and mini-projects. This will be rolled out for </w:t>
            </w:r>
            <w:r w:rsidR="00064EB4">
              <w:t xml:space="preserve">levels 5 and 6 </w:t>
            </w:r>
            <w:r w:rsidR="001D770E">
              <w:t>in future years.</w:t>
            </w:r>
          </w:p>
          <w:p w14:paraId="1A99CB49" w14:textId="77777777" w:rsidR="001D770E" w:rsidRDefault="001D770E" w:rsidP="00FA6A93"/>
          <w:p w14:paraId="7C0ED642" w14:textId="77777777" w:rsidR="001D770E" w:rsidRDefault="001D770E" w:rsidP="001D770E">
            <w:r>
              <w:t>Work with Covance Ltd to initiate a series of activities (student visits, internships, Covance run labs, and mentorship) for our students.</w:t>
            </w:r>
          </w:p>
          <w:p w14:paraId="5C7660C0" w14:textId="77777777" w:rsidR="001D770E" w:rsidRDefault="001D770E" w:rsidP="001D770E"/>
          <w:p w14:paraId="099E8787" w14:textId="446A9AA3" w:rsidR="001D770E" w:rsidRDefault="001D770E" w:rsidP="001D770E">
            <w:r>
              <w:t xml:space="preserve">Use this as a template for similar work with other companies. </w:t>
            </w:r>
          </w:p>
        </w:tc>
        <w:tc>
          <w:tcPr>
            <w:tcW w:w="2263" w:type="dxa"/>
          </w:tcPr>
          <w:p w14:paraId="46E0295B" w14:textId="77777777" w:rsidR="00FA6A93" w:rsidRDefault="00FA6A93" w:rsidP="00FA6A93">
            <w:r>
              <w:t>On-going</w:t>
            </w:r>
          </w:p>
          <w:p w14:paraId="209F5FA7" w14:textId="77777777" w:rsidR="00FA6A93" w:rsidRDefault="00FA6A93" w:rsidP="00FA6A93"/>
          <w:p w14:paraId="1D254A1C" w14:textId="77777777" w:rsidR="00FA6A93" w:rsidRDefault="00FA6A93" w:rsidP="00FA6A93"/>
          <w:p w14:paraId="1EDF88C8" w14:textId="77777777" w:rsidR="00FA6A93" w:rsidRDefault="00FA6A93" w:rsidP="00FA6A93">
            <w:r>
              <w:t>Completed at July 2019 meeting</w:t>
            </w:r>
          </w:p>
          <w:p w14:paraId="008F2BE3" w14:textId="77777777" w:rsidR="00FA6A93" w:rsidRDefault="00FA6A93" w:rsidP="00FA6A93"/>
          <w:p w14:paraId="769CC2C4" w14:textId="77777777" w:rsidR="00FA6A93" w:rsidRDefault="00FA6A93" w:rsidP="00FA6A93">
            <w:r>
              <w:t>September 2019</w:t>
            </w:r>
          </w:p>
          <w:p w14:paraId="76E8D030" w14:textId="77777777" w:rsidR="001D770E" w:rsidRDefault="001D770E" w:rsidP="00FA6A93"/>
          <w:p w14:paraId="5C87AC5C" w14:textId="77777777" w:rsidR="001D770E" w:rsidRDefault="001D770E" w:rsidP="00FA6A93"/>
          <w:p w14:paraId="48BB46D7" w14:textId="77777777" w:rsidR="001D770E" w:rsidRDefault="001D770E" w:rsidP="00FA6A93">
            <w:r>
              <w:t>September 2020.</w:t>
            </w:r>
          </w:p>
          <w:p w14:paraId="539987F6" w14:textId="77777777" w:rsidR="001D770E" w:rsidRDefault="001D770E" w:rsidP="00FA6A93"/>
          <w:p w14:paraId="4401CAC0" w14:textId="77777777" w:rsidR="001D770E" w:rsidRDefault="001D770E" w:rsidP="00FA6A93"/>
          <w:p w14:paraId="13CBEE30" w14:textId="77777777" w:rsidR="001D770E" w:rsidRDefault="001D770E" w:rsidP="00FA6A93"/>
          <w:p w14:paraId="21C206DC" w14:textId="117D5107" w:rsidR="001D770E" w:rsidRDefault="001D770E" w:rsidP="00FA6A93">
            <w:r>
              <w:t>In place for 2019/20</w:t>
            </w:r>
          </w:p>
        </w:tc>
        <w:tc>
          <w:tcPr>
            <w:tcW w:w="1415" w:type="dxa"/>
          </w:tcPr>
          <w:p w14:paraId="0B8FE801" w14:textId="77777777" w:rsidR="00FA6A93" w:rsidRDefault="00FA6A93" w:rsidP="00FA6A93">
            <w:r>
              <w:t>Chair of the Board</w:t>
            </w:r>
          </w:p>
          <w:p w14:paraId="2AC437B8" w14:textId="77777777" w:rsidR="00FA6A93" w:rsidRDefault="00FA6A93" w:rsidP="00FA6A93"/>
          <w:p w14:paraId="449A6104" w14:textId="77777777" w:rsidR="00FA6A93" w:rsidRDefault="00FA6A93" w:rsidP="00FA6A93"/>
          <w:p w14:paraId="7188A1C1" w14:textId="77777777" w:rsidR="00FA6A93" w:rsidRDefault="00FA6A93" w:rsidP="00FA6A93"/>
          <w:p w14:paraId="21B25802" w14:textId="77777777" w:rsidR="00FA6A93" w:rsidRDefault="00FA6A93" w:rsidP="00FA6A93"/>
          <w:p w14:paraId="218595DB" w14:textId="77777777" w:rsidR="00FA6A93" w:rsidRDefault="00FA6A93" w:rsidP="00FA6A93">
            <w:r>
              <w:t>Chair of the Board</w:t>
            </w:r>
          </w:p>
          <w:p w14:paraId="1CD2AAE8" w14:textId="77777777" w:rsidR="001D770E" w:rsidRDefault="001D770E" w:rsidP="00FA6A93"/>
          <w:p w14:paraId="0F9A25C1" w14:textId="77777777" w:rsidR="001D770E" w:rsidRPr="00CC6569" w:rsidRDefault="001D770E" w:rsidP="00FA6A93">
            <w:pPr>
              <w:rPr>
                <w:lang w:val="de-DE"/>
              </w:rPr>
            </w:pPr>
            <w:r w:rsidRPr="00CC6569">
              <w:rPr>
                <w:lang w:val="de-DE"/>
              </w:rPr>
              <w:t>Adrian Hall</w:t>
            </w:r>
          </w:p>
          <w:p w14:paraId="27A71709" w14:textId="77777777" w:rsidR="001D770E" w:rsidRPr="00CC6569" w:rsidRDefault="001D770E" w:rsidP="00FA6A93">
            <w:pPr>
              <w:rPr>
                <w:lang w:val="de-DE"/>
              </w:rPr>
            </w:pPr>
          </w:p>
          <w:p w14:paraId="502B7768" w14:textId="77777777" w:rsidR="001D770E" w:rsidRPr="00CC6569" w:rsidRDefault="001D770E" w:rsidP="00FA6A93">
            <w:pPr>
              <w:rPr>
                <w:lang w:val="de-DE"/>
              </w:rPr>
            </w:pPr>
          </w:p>
          <w:p w14:paraId="2E90A108" w14:textId="77777777" w:rsidR="001D770E" w:rsidRPr="00CC6569" w:rsidRDefault="001D770E" w:rsidP="00FA6A93">
            <w:pPr>
              <w:rPr>
                <w:lang w:val="de-DE"/>
              </w:rPr>
            </w:pPr>
          </w:p>
          <w:p w14:paraId="77CDF4B5" w14:textId="77777777" w:rsidR="001D770E" w:rsidRPr="00CC6569" w:rsidRDefault="001D770E" w:rsidP="00FA6A93">
            <w:pPr>
              <w:rPr>
                <w:lang w:val="de-DE"/>
              </w:rPr>
            </w:pPr>
            <w:r w:rsidRPr="00CC6569">
              <w:rPr>
                <w:lang w:val="de-DE"/>
              </w:rPr>
              <w:t>Liz Allen</w:t>
            </w:r>
          </w:p>
          <w:p w14:paraId="140CC439" w14:textId="77777777" w:rsidR="001D770E" w:rsidRPr="00CC6569" w:rsidRDefault="001D770E" w:rsidP="00FA6A93">
            <w:pPr>
              <w:rPr>
                <w:lang w:val="de-DE"/>
              </w:rPr>
            </w:pPr>
            <w:r w:rsidRPr="00CC6569">
              <w:rPr>
                <w:lang w:val="de-DE"/>
              </w:rPr>
              <w:t>Vikki Carolan</w:t>
            </w:r>
          </w:p>
          <w:p w14:paraId="2B8DDDF8" w14:textId="0262881A" w:rsidR="001D770E" w:rsidRDefault="001D770E" w:rsidP="00FA6A93">
            <w:r>
              <w:t>Rachel Frith (BESE)</w:t>
            </w:r>
          </w:p>
        </w:tc>
      </w:tr>
    </w:tbl>
    <w:p w14:paraId="29A3A191" w14:textId="48D083F1" w:rsidR="0094331C" w:rsidRDefault="0094331C"/>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p w14:paraId="4E3F9D72" w14:textId="77777777" w:rsidR="00432FB3" w:rsidRDefault="00432FB3">
      <w:pPr>
        <w:sectPr w:rsidR="00432FB3" w:rsidSect="00AC11AA">
          <w:headerReference w:type="default" r:id="rId18"/>
          <w:pgSz w:w="16838" w:h="11906" w:orient="landscape"/>
          <w:pgMar w:top="720" w:right="720" w:bottom="720" w:left="720" w:header="708" w:footer="708" w:gutter="0"/>
          <w:cols w:space="708"/>
          <w:docGrid w:linePitch="360"/>
        </w:sectPr>
      </w:pPr>
    </w:p>
    <w:p w14:paraId="120C3BF4"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r w:rsidRPr="00FB0F19">
        <w:rPr>
          <w:rFonts w:ascii="Arial" w:eastAsia="SimSun" w:hAnsi="Arial" w:cs="Arial"/>
          <w:b/>
          <w:bCs/>
          <w:sz w:val="24"/>
          <w:szCs w:val="24"/>
          <w:lang w:eastAsia="zh-CN"/>
        </w:rPr>
        <w:lastRenderedPageBreak/>
        <w:t>Appendix 1</w:t>
      </w:r>
    </w:p>
    <w:p w14:paraId="7A64B789"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p>
    <w:p w14:paraId="04E1EFF2" w14:textId="77777777" w:rsidR="00FB0F19" w:rsidRPr="00FB0F19" w:rsidRDefault="00FB0F19" w:rsidP="00FB0F19">
      <w:pPr>
        <w:autoSpaceDE w:val="0"/>
        <w:autoSpaceDN w:val="0"/>
        <w:adjustRightInd w:val="0"/>
        <w:spacing w:after="0" w:line="240" w:lineRule="auto"/>
        <w:jc w:val="center"/>
        <w:rPr>
          <w:rFonts w:ascii="Arial" w:eastAsia="SimSun" w:hAnsi="Arial" w:cs="Arial"/>
          <w:b/>
          <w:bCs/>
          <w:sz w:val="24"/>
          <w:szCs w:val="24"/>
          <w:lang w:eastAsia="zh-CN"/>
        </w:rPr>
      </w:pPr>
      <w:r w:rsidRPr="00FB0F19">
        <w:rPr>
          <w:rFonts w:ascii="Arial" w:eastAsia="SimSun" w:hAnsi="Arial" w:cs="Arial"/>
          <w:b/>
          <w:bCs/>
          <w:sz w:val="24"/>
          <w:szCs w:val="24"/>
          <w:lang w:eastAsia="zh-CN"/>
        </w:rPr>
        <w:t>Pharmaceutical Biosciences Sector Representatives Forum</w:t>
      </w:r>
    </w:p>
    <w:p w14:paraId="6ABEBD0D" w14:textId="77777777" w:rsidR="00FB0F19" w:rsidRPr="00FB0F19" w:rsidRDefault="00FB0F19" w:rsidP="00FB0F19">
      <w:pPr>
        <w:autoSpaceDE w:val="0"/>
        <w:autoSpaceDN w:val="0"/>
        <w:adjustRightInd w:val="0"/>
        <w:spacing w:after="0" w:line="240" w:lineRule="auto"/>
        <w:jc w:val="center"/>
        <w:rPr>
          <w:rFonts w:ascii="Arial" w:eastAsia="SimSun" w:hAnsi="Arial" w:cs="Arial"/>
          <w:b/>
          <w:bCs/>
          <w:sz w:val="24"/>
          <w:szCs w:val="24"/>
          <w:lang w:eastAsia="zh-CN"/>
        </w:rPr>
      </w:pPr>
      <w:r w:rsidRPr="00FB0F19">
        <w:rPr>
          <w:rFonts w:ascii="Arial" w:eastAsia="SimSun" w:hAnsi="Arial" w:cs="Arial"/>
          <w:b/>
          <w:bCs/>
          <w:sz w:val="24"/>
          <w:szCs w:val="24"/>
          <w:lang w:eastAsia="zh-CN"/>
        </w:rPr>
        <w:t>Department of Biosciences and Chemistry</w:t>
      </w:r>
    </w:p>
    <w:p w14:paraId="32678705" w14:textId="77777777" w:rsidR="00FB0F19" w:rsidRPr="00FB0F19" w:rsidRDefault="00FB0F19" w:rsidP="00FB0F19">
      <w:pPr>
        <w:autoSpaceDE w:val="0"/>
        <w:autoSpaceDN w:val="0"/>
        <w:adjustRightInd w:val="0"/>
        <w:spacing w:after="0" w:line="240" w:lineRule="auto"/>
        <w:jc w:val="center"/>
        <w:rPr>
          <w:rFonts w:ascii="Arial" w:eastAsia="SimSun" w:hAnsi="Arial" w:cs="Arial"/>
          <w:b/>
          <w:bCs/>
          <w:sz w:val="24"/>
          <w:szCs w:val="24"/>
          <w:lang w:eastAsia="zh-CN"/>
        </w:rPr>
      </w:pPr>
      <w:r w:rsidRPr="00FB0F19">
        <w:rPr>
          <w:rFonts w:ascii="Arial" w:eastAsia="SimSun" w:hAnsi="Arial" w:cs="Arial"/>
          <w:b/>
          <w:bCs/>
          <w:sz w:val="24"/>
          <w:szCs w:val="24"/>
          <w:lang w:eastAsia="zh-CN"/>
        </w:rPr>
        <w:t>Faculty of Health and Wellbeing</w:t>
      </w:r>
    </w:p>
    <w:p w14:paraId="48B3A8DA" w14:textId="77777777" w:rsidR="00FB0F19" w:rsidRPr="00FB0F19" w:rsidRDefault="00FB0F19" w:rsidP="00FB0F19">
      <w:pPr>
        <w:autoSpaceDE w:val="0"/>
        <w:autoSpaceDN w:val="0"/>
        <w:adjustRightInd w:val="0"/>
        <w:spacing w:after="0" w:line="240" w:lineRule="auto"/>
        <w:jc w:val="center"/>
        <w:rPr>
          <w:rFonts w:ascii="Arial" w:eastAsia="SimSun" w:hAnsi="Arial" w:cs="Arial"/>
          <w:b/>
          <w:bCs/>
          <w:sz w:val="24"/>
          <w:szCs w:val="24"/>
          <w:lang w:eastAsia="zh-CN"/>
        </w:rPr>
      </w:pPr>
      <w:r w:rsidRPr="00FB0F19">
        <w:rPr>
          <w:rFonts w:ascii="Arial" w:eastAsia="SimSun" w:hAnsi="Arial" w:cs="Arial"/>
          <w:b/>
          <w:bCs/>
          <w:sz w:val="24"/>
          <w:szCs w:val="24"/>
          <w:lang w:eastAsia="zh-CN"/>
        </w:rPr>
        <w:t>Sheffield Hallam University</w:t>
      </w:r>
    </w:p>
    <w:p w14:paraId="2F618B76"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p>
    <w:p w14:paraId="4C3006A8"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r w:rsidRPr="00FB0F19">
        <w:rPr>
          <w:rFonts w:ascii="Arial" w:eastAsia="SimSun" w:hAnsi="Arial" w:cs="Arial"/>
          <w:b/>
          <w:bCs/>
          <w:sz w:val="24"/>
          <w:szCs w:val="24"/>
          <w:lang w:eastAsia="zh-CN"/>
        </w:rPr>
        <w:t xml:space="preserve">Purpose </w:t>
      </w:r>
    </w:p>
    <w:p w14:paraId="697C3E3C" w14:textId="77777777" w:rsidR="00FB0F19" w:rsidRPr="00FB0F19" w:rsidRDefault="00FB0F19" w:rsidP="00FB0F19">
      <w:pPr>
        <w:autoSpaceDE w:val="0"/>
        <w:autoSpaceDN w:val="0"/>
        <w:adjustRightInd w:val="0"/>
        <w:spacing w:after="0" w:line="240" w:lineRule="auto"/>
        <w:rPr>
          <w:rFonts w:ascii="Arial" w:eastAsia="SimSun" w:hAnsi="Arial" w:cs="Arial"/>
          <w:sz w:val="24"/>
          <w:szCs w:val="24"/>
          <w:lang w:eastAsia="zh-CN"/>
        </w:rPr>
      </w:pPr>
    </w:p>
    <w:p w14:paraId="5E6C7084"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r w:rsidRPr="00FB0F19">
        <w:rPr>
          <w:rFonts w:ascii="Arial" w:eastAsia="SimSun" w:hAnsi="Arial" w:cs="Arial"/>
          <w:sz w:val="24"/>
          <w:szCs w:val="24"/>
          <w:lang w:eastAsia="zh-CN"/>
        </w:rPr>
        <w:t>To strengthen and co-ordinate partnership working between the Biosciences and Chemistry Department at Sheffield Hallam University and representatives from the Pharmaceutical/Biotechnology sector  in respect to teaching, research and consultancy.</w:t>
      </w:r>
    </w:p>
    <w:p w14:paraId="0125674D" w14:textId="77777777" w:rsidR="00FB0F19" w:rsidRPr="00FB0F19" w:rsidRDefault="00FB0F19" w:rsidP="00FB0F19">
      <w:pPr>
        <w:autoSpaceDE w:val="0"/>
        <w:autoSpaceDN w:val="0"/>
        <w:adjustRightInd w:val="0"/>
        <w:spacing w:after="0" w:line="240" w:lineRule="auto"/>
        <w:rPr>
          <w:rFonts w:ascii="Arial" w:eastAsia="SimSun" w:hAnsi="Arial" w:cs="Arial"/>
          <w:b/>
          <w:bCs/>
          <w:lang w:eastAsia="zh-CN"/>
        </w:rPr>
      </w:pPr>
    </w:p>
    <w:p w14:paraId="12F8A54E"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p>
    <w:p w14:paraId="67EA5AE1" w14:textId="77777777" w:rsidR="00FB0F19" w:rsidRPr="00FB0F19" w:rsidRDefault="00FB0F19" w:rsidP="00FB0F19">
      <w:pPr>
        <w:autoSpaceDE w:val="0"/>
        <w:autoSpaceDN w:val="0"/>
        <w:adjustRightInd w:val="0"/>
        <w:spacing w:after="0" w:line="240" w:lineRule="auto"/>
        <w:rPr>
          <w:rFonts w:ascii="Arial" w:eastAsia="SimSun" w:hAnsi="Arial" w:cs="Arial"/>
          <w:b/>
          <w:bCs/>
          <w:lang w:eastAsia="zh-CN"/>
        </w:rPr>
      </w:pPr>
      <w:r w:rsidRPr="00FB0F19">
        <w:rPr>
          <w:rFonts w:ascii="Arial" w:eastAsia="SimSun" w:hAnsi="Arial" w:cs="Arial"/>
          <w:b/>
          <w:bCs/>
          <w:lang w:eastAsia="zh-CN"/>
        </w:rPr>
        <w:t>Aims</w:t>
      </w:r>
    </w:p>
    <w:p w14:paraId="24AD6243"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p>
    <w:p w14:paraId="2A9F7185" w14:textId="77777777" w:rsidR="00FB0F19" w:rsidRPr="00FB0F19" w:rsidRDefault="00FB0F19" w:rsidP="00FB0F19">
      <w:pPr>
        <w:numPr>
          <w:ilvl w:val="0"/>
          <w:numId w:val="8"/>
        </w:num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To ensure that undergraduate, postgraduate and PhD students who graduate from Sheffield Hallam University have the knowledge and skills required for employment, particularly, but not exclusively, in the relevant sector.</w:t>
      </w:r>
    </w:p>
    <w:p w14:paraId="41D2B23D" w14:textId="77777777" w:rsidR="00FB0F19" w:rsidRPr="00FB0F19" w:rsidRDefault="00FB0F19" w:rsidP="00FB0F19">
      <w:pPr>
        <w:numPr>
          <w:ilvl w:val="0"/>
          <w:numId w:val="8"/>
        </w:num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 xml:space="preserve">To provide opportunities for students to gain experience of working in the sector through placements (year-long and summer), visits to the workplace and sessions delivered within the </w:t>
      </w:r>
      <w:proofErr w:type="spellStart"/>
      <w:r w:rsidRPr="00FB0F19">
        <w:rPr>
          <w:rFonts w:ascii="Arial" w:eastAsia="SimSun" w:hAnsi="Arial" w:cs="Arial"/>
          <w:sz w:val="24"/>
          <w:szCs w:val="24"/>
          <w:lang w:eastAsia="zh-CN"/>
        </w:rPr>
        <w:t>univeristy</w:t>
      </w:r>
      <w:proofErr w:type="spellEnd"/>
      <w:r w:rsidRPr="00FB0F19">
        <w:rPr>
          <w:rFonts w:ascii="Arial" w:eastAsia="SimSun" w:hAnsi="Arial" w:cs="Arial"/>
          <w:sz w:val="24"/>
          <w:szCs w:val="24"/>
          <w:lang w:eastAsia="zh-CN"/>
        </w:rPr>
        <w:t>.</w:t>
      </w:r>
    </w:p>
    <w:p w14:paraId="4B0CAD78" w14:textId="77777777" w:rsidR="00FB0F19" w:rsidRPr="00FB0F19" w:rsidRDefault="00FB0F19" w:rsidP="00FB0F19">
      <w:pPr>
        <w:numPr>
          <w:ilvl w:val="0"/>
          <w:numId w:val="8"/>
        </w:num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To promote the activities of the Biosciences and Chemistry Department both internal to the University and in the external national and international context.</w:t>
      </w:r>
    </w:p>
    <w:p w14:paraId="4067B03B" w14:textId="77777777" w:rsidR="00FB0F19" w:rsidRPr="00FB0F19" w:rsidRDefault="00FB0F19" w:rsidP="00FB0F19">
      <w:pPr>
        <w:numPr>
          <w:ilvl w:val="0"/>
          <w:numId w:val="8"/>
        </w:num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To maximise the opportunities for research and consultancy to the mutual benefit of Sheffield Hallam University and representatives from the private sector.</w:t>
      </w:r>
    </w:p>
    <w:p w14:paraId="64E0A6E4" w14:textId="77777777" w:rsidR="00FB0F19" w:rsidRPr="00FB0F19" w:rsidRDefault="00FB0F19" w:rsidP="00FB0F19">
      <w:pPr>
        <w:numPr>
          <w:ilvl w:val="0"/>
          <w:numId w:val="8"/>
        </w:num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To respond to external government and commercial drivers in the context of the Biosciences and Chemistry Department business.</w:t>
      </w:r>
    </w:p>
    <w:p w14:paraId="196F6268" w14:textId="77777777" w:rsidR="00FB0F19" w:rsidRPr="00FB0F19" w:rsidRDefault="00FB0F19" w:rsidP="00FB0F19">
      <w:pPr>
        <w:spacing w:after="0" w:line="240" w:lineRule="auto"/>
        <w:rPr>
          <w:rFonts w:ascii="Arial" w:eastAsia="SimSun" w:hAnsi="Arial" w:cs="Arial"/>
          <w:sz w:val="24"/>
          <w:szCs w:val="24"/>
          <w:lang w:eastAsia="zh-CN"/>
        </w:rPr>
      </w:pPr>
    </w:p>
    <w:p w14:paraId="611EE0A2" w14:textId="77777777" w:rsidR="00FB0F19" w:rsidRPr="00FB0F19" w:rsidRDefault="00FB0F19" w:rsidP="00FB0F19">
      <w:pPr>
        <w:spacing w:after="0" w:line="240" w:lineRule="auto"/>
        <w:rPr>
          <w:rFonts w:ascii="Arial" w:eastAsia="SimSun" w:hAnsi="Arial" w:cs="Arial"/>
          <w:b/>
          <w:bCs/>
          <w:sz w:val="24"/>
          <w:szCs w:val="24"/>
          <w:lang w:eastAsia="zh-CN"/>
        </w:rPr>
      </w:pPr>
      <w:r w:rsidRPr="00FB0F19">
        <w:rPr>
          <w:rFonts w:ascii="Arial" w:eastAsia="SimSun" w:hAnsi="Arial" w:cs="Arial"/>
          <w:b/>
          <w:bCs/>
          <w:sz w:val="24"/>
          <w:szCs w:val="24"/>
          <w:lang w:eastAsia="zh-CN"/>
        </w:rPr>
        <w:t xml:space="preserve">Membership </w:t>
      </w:r>
    </w:p>
    <w:p w14:paraId="789C912C" w14:textId="77777777" w:rsidR="00FB0F19" w:rsidRPr="00FB0F19" w:rsidRDefault="00FB0F19" w:rsidP="00FB0F19">
      <w:pPr>
        <w:spacing w:after="0" w:line="240" w:lineRule="auto"/>
        <w:rPr>
          <w:rFonts w:ascii="Arial" w:eastAsia="SimSun" w:hAnsi="Arial" w:cs="Arial"/>
          <w:sz w:val="24"/>
          <w:szCs w:val="24"/>
          <w:lang w:eastAsia="zh-CN"/>
        </w:rPr>
      </w:pPr>
    </w:p>
    <w:p w14:paraId="297A3B86"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 xml:space="preserve">Professor Susan Laird - Head of Department of Biosciences, SHU (Chair) </w:t>
      </w:r>
    </w:p>
    <w:p w14:paraId="514A44F1"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Professor Malcolm Clench - Head of Research Sheffield Hallam University</w:t>
      </w:r>
    </w:p>
    <w:p w14:paraId="2943B369"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Professor Thomas Smith - Sheffield Hallam University</w:t>
      </w:r>
    </w:p>
    <w:p w14:paraId="25467F2A" w14:textId="77777777" w:rsidR="00FB0F19" w:rsidRPr="00FB0F19" w:rsidRDefault="00FB0F19" w:rsidP="00FB0F19">
      <w:pPr>
        <w:spacing w:after="0" w:line="240" w:lineRule="auto"/>
        <w:rPr>
          <w:rFonts w:ascii="Arial" w:eastAsia="SimSun" w:hAnsi="Arial" w:cs="Arial"/>
          <w:sz w:val="24"/>
          <w:szCs w:val="24"/>
          <w:lang w:eastAsia="zh-CN"/>
        </w:rPr>
      </w:pPr>
      <w:proofErr w:type="spellStart"/>
      <w:r w:rsidRPr="00FB0F19">
        <w:rPr>
          <w:rFonts w:ascii="Arial" w:eastAsia="SimSun" w:hAnsi="Arial" w:cs="Arial"/>
          <w:sz w:val="24"/>
          <w:szCs w:val="24"/>
          <w:lang w:eastAsia="zh-CN"/>
        </w:rPr>
        <w:t>Dr.</w:t>
      </w:r>
      <w:proofErr w:type="spellEnd"/>
      <w:r w:rsidRPr="00FB0F19">
        <w:rPr>
          <w:rFonts w:ascii="Arial" w:eastAsia="SimSun" w:hAnsi="Arial" w:cs="Arial"/>
          <w:sz w:val="24"/>
          <w:szCs w:val="24"/>
          <w:lang w:eastAsia="zh-CN"/>
        </w:rPr>
        <w:t xml:space="preserve"> Adrian Hall- Sheffield Hallam University</w:t>
      </w:r>
    </w:p>
    <w:p w14:paraId="1C8934B1"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 xml:space="preserve">Professor Neil </w:t>
      </w:r>
      <w:proofErr w:type="spellStart"/>
      <w:r w:rsidRPr="00FB0F19">
        <w:rPr>
          <w:rFonts w:ascii="Arial" w:eastAsia="SimSun" w:hAnsi="Arial" w:cs="Arial"/>
          <w:sz w:val="24"/>
          <w:szCs w:val="24"/>
          <w:lang w:eastAsia="zh-CN"/>
        </w:rPr>
        <w:t>Bricklebank</w:t>
      </w:r>
      <w:proofErr w:type="spellEnd"/>
      <w:r w:rsidRPr="00FB0F19">
        <w:rPr>
          <w:rFonts w:ascii="Arial" w:eastAsia="SimSun" w:hAnsi="Arial" w:cs="Arial"/>
          <w:sz w:val="24"/>
          <w:szCs w:val="24"/>
          <w:lang w:eastAsia="zh-CN"/>
        </w:rPr>
        <w:t xml:space="preserve"> - Sheffield Hallam University</w:t>
      </w:r>
    </w:p>
    <w:p w14:paraId="56B73A40"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Dr Karen Stanley - Sheffield Hallam University</w:t>
      </w:r>
    </w:p>
    <w:p w14:paraId="4E427BD2"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 xml:space="preserve">Dr Tom </w:t>
      </w:r>
      <w:proofErr w:type="spellStart"/>
      <w:r w:rsidRPr="00FB0F19">
        <w:rPr>
          <w:rFonts w:ascii="Arial" w:eastAsia="SimSun" w:hAnsi="Arial" w:cs="Arial"/>
          <w:sz w:val="24"/>
          <w:szCs w:val="24"/>
          <w:lang w:eastAsia="zh-CN"/>
        </w:rPr>
        <w:t>Bassindale</w:t>
      </w:r>
      <w:proofErr w:type="spellEnd"/>
      <w:r w:rsidRPr="00FB0F19">
        <w:rPr>
          <w:rFonts w:ascii="Arial" w:eastAsia="SimSun" w:hAnsi="Arial" w:cs="Arial"/>
          <w:sz w:val="24"/>
          <w:szCs w:val="24"/>
          <w:lang w:eastAsia="zh-CN"/>
        </w:rPr>
        <w:t xml:space="preserve"> Sheffield Hallam University</w:t>
      </w:r>
    </w:p>
    <w:p w14:paraId="67950792"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Dr Jamie Young - Business Development, BMRC</w:t>
      </w:r>
    </w:p>
    <w:p w14:paraId="5B505589" w14:textId="77777777" w:rsidR="00FB0F19" w:rsidRPr="00FB0F19" w:rsidRDefault="00FB0F19" w:rsidP="00FB0F19">
      <w:pPr>
        <w:spacing w:after="0" w:line="240" w:lineRule="auto"/>
        <w:rPr>
          <w:rFonts w:ascii="Arial" w:eastAsia="SimSun" w:hAnsi="Arial" w:cs="Arial"/>
          <w:sz w:val="24"/>
          <w:szCs w:val="24"/>
          <w:lang w:eastAsia="zh-CN"/>
        </w:rPr>
      </w:pPr>
    </w:p>
    <w:p w14:paraId="33EE5F62"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 xml:space="preserve">Professor Ian </w:t>
      </w:r>
      <w:proofErr w:type="spellStart"/>
      <w:r w:rsidRPr="00FB0F19">
        <w:rPr>
          <w:rFonts w:ascii="Arial" w:eastAsia="SimSun" w:hAnsi="Arial" w:cs="Arial"/>
          <w:sz w:val="24"/>
          <w:szCs w:val="24"/>
          <w:lang w:eastAsia="zh-CN"/>
        </w:rPr>
        <w:t>Hunneybull</w:t>
      </w:r>
      <w:proofErr w:type="spellEnd"/>
      <w:r w:rsidRPr="00FB0F19">
        <w:rPr>
          <w:rFonts w:ascii="Arial" w:eastAsia="SimSun" w:hAnsi="Arial" w:cs="Arial"/>
          <w:sz w:val="24"/>
          <w:szCs w:val="24"/>
          <w:lang w:eastAsia="zh-CN"/>
        </w:rPr>
        <w:t xml:space="preserve"> - </w:t>
      </w:r>
      <w:proofErr w:type="spellStart"/>
      <w:r w:rsidRPr="00FB0F19">
        <w:rPr>
          <w:rFonts w:ascii="Arial" w:eastAsia="SimSun" w:hAnsi="Arial" w:cs="Arial"/>
          <w:sz w:val="24"/>
          <w:szCs w:val="24"/>
          <w:lang w:eastAsia="zh-CN"/>
        </w:rPr>
        <w:t>Evotec</w:t>
      </w:r>
      <w:proofErr w:type="spellEnd"/>
      <w:r w:rsidRPr="00FB0F19">
        <w:rPr>
          <w:rFonts w:ascii="Arial" w:eastAsia="SimSun" w:hAnsi="Arial" w:cs="Arial"/>
          <w:sz w:val="24"/>
          <w:szCs w:val="24"/>
          <w:lang w:eastAsia="zh-CN"/>
        </w:rPr>
        <w:t>, Abingdon, Oxfordshire</w:t>
      </w:r>
    </w:p>
    <w:p w14:paraId="5ACDFAAE"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Ailsa Jackson - FMC, North Yorkshire</w:t>
      </w:r>
    </w:p>
    <w:p w14:paraId="2B16DB60" w14:textId="77777777" w:rsidR="00FB0F19" w:rsidRPr="00FB0F19" w:rsidRDefault="00FB0F19" w:rsidP="00FB0F19">
      <w:pPr>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Jo Burnett- Covance Ltd - Harrogate, North Yorkshire</w:t>
      </w:r>
    </w:p>
    <w:p w14:paraId="26EAB683"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r w:rsidRPr="00FB0F19">
        <w:rPr>
          <w:rFonts w:ascii="Arial" w:eastAsia="SimSun" w:hAnsi="Arial" w:cs="Arial"/>
          <w:lang w:eastAsia="zh-CN"/>
        </w:rPr>
        <w:t>Bruce Leslie - Concept Life Sciences Ltd. Chapel-le-Firth, Stockport</w:t>
      </w:r>
    </w:p>
    <w:p w14:paraId="156881C1"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r w:rsidRPr="00FB0F19">
        <w:rPr>
          <w:rFonts w:ascii="Arial" w:eastAsia="SimSun" w:hAnsi="Arial" w:cs="Arial"/>
          <w:lang w:eastAsia="zh-CN"/>
        </w:rPr>
        <w:t>Mark Harrison - Astra Zeneca, Macclesfield.</w:t>
      </w:r>
    </w:p>
    <w:p w14:paraId="65468B7F"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proofErr w:type="spellStart"/>
      <w:r w:rsidRPr="00FB0F19">
        <w:rPr>
          <w:rFonts w:ascii="Arial" w:eastAsia="SimSun" w:hAnsi="Arial" w:cs="Arial"/>
          <w:lang w:eastAsia="zh-CN"/>
        </w:rPr>
        <w:t>Urvish</w:t>
      </w:r>
      <w:proofErr w:type="spellEnd"/>
      <w:r w:rsidRPr="00FB0F19">
        <w:rPr>
          <w:rFonts w:ascii="Arial" w:eastAsia="SimSun" w:hAnsi="Arial" w:cs="Arial"/>
          <w:lang w:eastAsia="zh-CN"/>
        </w:rPr>
        <w:t xml:space="preserve"> Pandya Consort Medical, </w:t>
      </w:r>
      <w:proofErr w:type="spellStart"/>
      <w:r w:rsidRPr="00FB0F19">
        <w:rPr>
          <w:rFonts w:ascii="Arial" w:eastAsia="SimSun" w:hAnsi="Arial" w:cs="Arial"/>
          <w:lang w:eastAsia="zh-CN"/>
        </w:rPr>
        <w:t>Cramlington</w:t>
      </w:r>
      <w:proofErr w:type="spellEnd"/>
      <w:r w:rsidRPr="00FB0F19">
        <w:rPr>
          <w:rFonts w:ascii="Arial" w:eastAsia="SimSun" w:hAnsi="Arial" w:cs="Arial"/>
          <w:lang w:eastAsia="zh-CN"/>
        </w:rPr>
        <w:t xml:space="preserve">, Northumbria </w:t>
      </w:r>
    </w:p>
    <w:p w14:paraId="5E6284CA"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r w:rsidRPr="00FB0F19">
        <w:rPr>
          <w:rFonts w:ascii="Arial" w:eastAsia="SimSun" w:hAnsi="Arial" w:cs="Arial"/>
          <w:lang w:eastAsia="zh-CN"/>
        </w:rPr>
        <w:t>Dawn Cooper - B Braun, Sheffield.</w:t>
      </w:r>
    </w:p>
    <w:p w14:paraId="048D2AAE"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p>
    <w:p w14:paraId="36AAFAE7"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p>
    <w:p w14:paraId="58683167"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r w:rsidRPr="00FB0F19">
        <w:rPr>
          <w:rFonts w:ascii="Arial" w:eastAsia="SimSun" w:hAnsi="Arial" w:cs="Arial"/>
          <w:b/>
          <w:bCs/>
          <w:lang w:eastAsia="zh-CN"/>
        </w:rPr>
        <w:lastRenderedPageBreak/>
        <w:t>Meetings</w:t>
      </w:r>
    </w:p>
    <w:p w14:paraId="303C332E" w14:textId="77777777" w:rsidR="00FB0F19" w:rsidRPr="00FB0F19" w:rsidRDefault="00FB0F19" w:rsidP="00FB0F19">
      <w:p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The group meets twice a year at Sheffield Hallam University</w:t>
      </w:r>
    </w:p>
    <w:p w14:paraId="108441BB"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p>
    <w:p w14:paraId="3CDA6A7E" w14:textId="77777777" w:rsidR="00FB0F19" w:rsidRPr="00FB0F19" w:rsidRDefault="00FB0F19" w:rsidP="00FB0F19">
      <w:p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b/>
          <w:bCs/>
          <w:sz w:val="24"/>
          <w:szCs w:val="24"/>
          <w:lang w:eastAsia="zh-CN"/>
        </w:rPr>
        <w:t>Outputs</w:t>
      </w:r>
    </w:p>
    <w:p w14:paraId="22342929"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Skills development programme embedded into both undergraduate and postgraduate curriculum aligned to sector needs</w:t>
      </w:r>
    </w:p>
    <w:p w14:paraId="461BC503"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Curriculum content of all courses relevant to sector needs</w:t>
      </w:r>
    </w:p>
    <w:p w14:paraId="3261E9FE"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Consultation about how to expand BMRC analytical services business</w:t>
      </w:r>
    </w:p>
    <w:p w14:paraId="715A904F"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Increased exposure of Department and University within the companies represented</w:t>
      </w:r>
    </w:p>
    <w:p w14:paraId="3A5F1B23"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Input into Careers fairs</w:t>
      </w:r>
    </w:p>
    <w:p w14:paraId="6DA0F20B"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Sponsorship of student prizes</w:t>
      </w:r>
    </w:p>
    <w:p w14:paraId="52727227"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Links for specific staff research</w:t>
      </w:r>
    </w:p>
    <w:p w14:paraId="0B921A36"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Mentorship for students regarding working in the industry</w:t>
      </w:r>
    </w:p>
    <w:p w14:paraId="7F044D80" w14:textId="77777777" w:rsidR="00FB0F19" w:rsidRPr="00FB0F19" w:rsidRDefault="00FB0F19" w:rsidP="00FB0F19">
      <w:pPr>
        <w:numPr>
          <w:ilvl w:val="0"/>
          <w:numId w:val="9"/>
        </w:numPr>
        <w:autoSpaceDE w:val="0"/>
        <w:autoSpaceDN w:val="0"/>
        <w:adjustRightInd w:val="0"/>
        <w:spacing w:after="0" w:line="240" w:lineRule="auto"/>
        <w:rPr>
          <w:rFonts w:ascii="Arial" w:eastAsia="SimSun" w:hAnsi="Arial" w:cs="Arial"/>
          <w:sz w:val="24"/>
          <w:szCs w:val="24"/>
          <w:lang w:eastAsia="zh-CN"/>
        </w:rPr>
      </w:pPr>
      <w:r w:rsidRPr="00FB0F19">
        <w:rPr>
          <w:rFonts w:ascii="Arial" w:eastAsia="SimSun" w:hAnsi="Arial" w:cs="Arial"/>
          <w:sz w:val="24"/>
          <w:szCs w:val="24"/>
          <w:lang w:eastAsia="zh-CN"/>
        </w:rPr>
        <w:t>Placement links</w:t>
      </w:r>
    </w:p>
    <w:p w14:paraId="631E1711" w14:textId="77777777" w:rsidR="00FB0F19" w:rsidRPr="00FB0F19" w:rsidRDefault="00FB0F19" w:rsidP="00FB0F19">
      <w:pPr>
        <w:autoSpaceDE w:val="0"/>
        <w:autoSpaceDN w:val="0"/>
        <w:adjustRightInd w:val="0"/>
        <w:spacing w:after="0" w:line="240" w:lineRule="auto"/>
        <w:rPr>
          <w:rFonts w:ascii="Arial" w:eastAsia="SimSun" w:hAnsi="Arial" w:cs="Arial"/>
          <w:b/>
          <w:bCs/>
          <w:sz w:val="24"/>
          <w:szCs w:val="24"/>
          <w:lang w:eastAsia="zh-CN"/>
        </w:rPr>
      </w:pPr>
    </w:p>
    <w:p w14:paraId="1467D2DA" w14:textId="77777777" w:rsidR="00FB0F19" w:rsidRPr="00FB0F19" w:rsidRDefault="00FB0F19" w:rsidP="00FB0F19">
      <w:pPr>
        <w:autoSpaceDE w:val="0"/>
        <w:autoSpaceDN w:val="0"/>
        <w:adjustRightInd w:val="0"/>
        <w:spacing w:after="0" w:line="240" w:lineRule="auto"/>
        <w:rPr>
          <w:rFonts w:ascii="Arial" w:eastAsia="SimSun" w:hAnsi="Arial" w:cs="Arial"/>
          <w:lang w:eastAsia="zh-CN"/>
        </w:rPr>
      </w:pPr>
      <w:r w:rsidRPr="00FB0F19">
        <w:rPr>
          <w:rFonts w:ascii="Arial" w:eastAsia="SimSun" w:hAnsi="Arial" w:cs="Arial"/>
          <w:lang w:eastAsia="zh-CN"/>
        </w:rPr>
        <w:t xml:space="preserve"> </w:t>
      </w:r>
    </w:p>
    <w:p w14:paraId="5031C388" w14:textId="196EE478" w:rsidR="00432FB3" w:rsidRDefault="00432FB3"/>
    <w:sectPr w:rsidR="00432FB3" w:rsidSect="00CC7721">
      <w:headerReference w:type="even" r:id="rId19"/>
      <w:head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5A0B" w14:textId="77777777" w:rsidR="00AC11AA" w:rsidRDefault="00AC11AA" w:rsidP="00AC11AA">
      <w:pPr>
        <w:spacing w:after="0" w:line="240" w:lineRule="auto"/>
      </w:pPr>
      <w:r>
        <w:separator/>
      </w:r>
    </w:p>
  </w:endnote>
  <w:endnote w:type="continuationSeparator" w:id="0">
    <w:p w14:paraId="344617D3" w14:textId="77777777" w:rsidR="00AC11AA" w:rsidRDefault="00AC11AA"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284D" w14:textId="77777777" w:rsidR="00AC11AA" w:rsidRDefault="00AC11AA" w:rsidP="00AC11AA">
      <w:pPr>
        <w:spacing w:after="0" w:line="240" w:lineRule="auto"/>
      </w:pPr>
      <w:r>
        <w:separator/>
      </w:r>
    </w:p>
  </w:footnote>
  <w:footnote w:type="continuationSeparator" w:id="0">
    <w:p w14:paraId="2C7413C0" w14:textId="77777777" w:rsidR="00AC11AA" w:rsidRDefault="00AC11AA"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A958" w14:textId="77777777" w:rsidR="004638C5" w:rsidRDefault="00CC6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B104" w14:textId="77777777" w:rsidR="004638C5" w:rsidRDefault="00CC6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3354" w14:textId="77777777" w:rsidR="004638C5" w:rsidRDefault="00CC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4">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5">
    <w:nsid w:val="5C085780"/>
    <w:multiLevelType w:val="hybridMultilevel"/>
    <w:tmpl w:val="833AEFF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7">
    <w:nsid w:val="6DB16302"/>
    <w:multiLevelType w:val="hybridMultilevel"/>
    <w:tmpl w:val="1B8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64EB4"/>
    <w:rsid w:val="00071001"/>
    <w:rsid w:val="000867AA"/>
    <w:rsid w:val="000E18C1"/>
    <w:rsid w:val="0017133E"/>
    <w:rsid w:val="00171458"/>
    <w:rsid w:val="001D770E"/>
    <w:rsid w:val="002239AB"/>
    <w:rsid w:val="00241985"/>
    <w:rsid w:val="00314FF4"/>
    <w:rsid w:val="00432FB3"/>
    <w:rsid w:val="00496B81"/>
    <w:rsid w:val="0074063C"/>
    <w:rsid w:val="0080308B"/>
    <w:rsid w:val="0094331C"/>
    <w:rsid w:val="009D2B41"/>
    <w:rsid w:val="00A92E89"/>
    <w:rsid w:val="00AC11AA"/>
    <w:rsid w:val="00BE2B3D"/>
    <w:rsid w:val="00BE614B"/>
    <w:rsid w:val="00C20296"/>
    <w:rsid w:val="00CC6569"/>
    <w:rsid w:val="00E106FE"/>
    <w:rsid w:val="00FA6A93"/>
    <w:rsid w:val="00FB0F19"/>
    <w:rsid w:val="00FE0E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NoSpacing">
    <w:name w:val="No Spacing"/>
    <w:uiPriority w:val="1"/>
    <w:qFormat/>
    <w:rsid w:val="001D770E"/>
    <w:pPr>
      <w:spacing w:after="0" w:line="240" w:lineRule="auto"/>
    </w:pPr>
  </w:style>
  <w:style w:type="paragraph" w:styleId="BalloonText">
    <w:name w:val="Balloon Text"/>
    <w:basedOn w:val="Normal"/>
    <w:link w:val="BalloonTextChar"/>
    <w:uiPriority w:val="99"/>
    <w:semiHidden/>
    <w:unhideWhenUsed/>
    <w:rsid w:val="00FE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NoSpacing">
    <w:name w:val="No Spacing"/>
    <w:uiPriority w:val="1"/>
    <w:qFormat/>
    <w:rsid w:val="001D770E"/>
    <w:pPr>
      <w:spacing w:after="0" w:line="240" w:lineRule="auto"/>
    </w:pPr>
  </w:style>
  <w:style w:type="paragraph" w:styleId="BalloonText">
    <w:name w:val="Balloon Text"/>
    <w:basedOn w:val="Normal"/>
    <w:link w:val="BalloonTextChar"/>
    <w:uiPriority w:val="99"/>
    <w:semiHidden/>
    <w:unhideWhenUsed/>
    <w:rsid w:val="00FE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ED8939F9-2F07-4BB2-B406-4818BF2D6968}">
  <ds:schemaRefs>
    <ds:schemaRef ds:uri="http://schemas.microsoft.com/office/2006/documentManagement/types"/>
    <ds:schemaRef ds:uri="http://schemas.microsoft.com/office/infopath/2007/PartnerControls"/>
    <ds:schemaRef ds:uri="1b893c3f-6370-42b4-9b0a-515bed31bca7"/>
    <ds:schemaRef ds:uri="http://schemas.openxmlformats.org/package/2006/metadata/core-properties"/>
    <ds:schemaRef ds:uri="http://purl.org/dc/dcmitype/"/>
    <ds:schemaRef ds:uri="http://schemas.microsoft.com/office/2006/metadata/properties"/>
    <ds:schemaRef ds:uri="http://www.w3.org/XML/1998/namespace"/>
    <ds:schemaRef ds:uri="a2875c31-28f1-45f6-98b2-ad79183370d3"/>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cp:lastPrinted>2019-08-08T09:06:00Z</cp:lastPrinted>
  <dcterms:created xsi:type="dcterms:W3CDTF">2019-09-02T17:35:00Z</dcterms:created>
  <dcterms:modified xsi:type="dcterms:W3CDTF">2019-09-02T17:35:00Z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