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38" w:rsidRDefault="00F61338">
      <w:pPr>
        <w:rPr>
          <w:rFonts w:ascii="Arial" w:hAnsi="Arial" w:cs="Arial"/>
          <w:b/>
          <w:bCs/>
          <w:color w:val="E36C0A" w:themeColor="accent6" w:themeShade="BF"/>
          <w:sz w:val="32"/>
          <w:szCs w:val="32"/>
          <w:lang w:val="en-US"/>
        </w:rPr>
      </w:pPr>
      <w:r w:rsidRPr="00F61338">
        <w:rPr>
          <w:rFonts w:ascii="Arial" w:hAnsi="Arial" w:cs="Arial"/>
          <w:b/>
          <w:noProof/>
          <w:color w:val="E36C0A" w:themeColor="accent6" w:themeShade="BF"/>
          <w:sz w:val="32"/>
          <w:szCs w:val="32"/>
          <w:lang w:eastAsia="en-GB"/>
        </w:rPr>
        <w:drawing>
          <wp:anchor distT="0" distB="0" distL="114300" distR="114300" simplePos="0" relativeHeight="251658240" behindDoc="0" locked="0" layoutInCell="1" allowOverlap="1" wp14:anchorId="2806A92F" wp14:editId="2295390E">
            <wp:simplePos x="0" y="0"/>
            <wp:positionH relativeFrom="column">
              <wp:posOffset>8047355</wp:posOffset>
            </wp:positionH>
            <wp:positionV relativeFrom="paragraph">
              <wp:posOffset>-208915</wp:posOffset>
            </wp:positionV>
            <wp:extent cx="1782346" cy="14668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2346" cy="1466850"/>
                    </a:xfrm>
                    <a:prstGeom prst="rect">
                      <a:avLst/>
                    </a:prstGeom>
                  </pic:spPr>
                </pic:pic>
              </a:graphicData>
            </a:graphic>
            <wp14:sizeRelH relativeFrom="page">
              <wp14:pctWidth>0</wp14:pctWidth>
            </wp14:sizeRelH>
            <wp14:sizeRelV relativeFrom="page">
              <wp14:pctHeight>0</wp14:pctHeight>
            </wp14:sizeRelV>
          </wp:anchor>
        </w:drawing>
      </w:r>
    </w:p>
    <w:p w:rsidR="00BB6B58" w:rsidRDefault="00F61338">
      <w:pPr>
        <w:rPr>
          <w:rFonts w:ascii="Arial" w:hAnsi="Arial" w:cs="Arial"/>
          <w:b/>
          <w:bCs/>
          <w:color w:val="E36C0A" w:themeColor="accent6" w:themeShade="BF"/>
          <w:sz w:val="32"/>
          <w:szCs w:val="32"/>
          <w:lang w:val="en-US"/>
        </w:rPr>
      </w:pPr>
      <w:r w:rsidRPr="00F61338">
        <w:rPr>
          <w:rFonts w:ascii="Arial" w:hAnsi="Arial" w:cs="Arial"/>
          <w:b/>
          <w:bCs/>
          <w:color w:val="E36C0A" w:themeColor="accent6" w:themeShade="BF"/>
          <w:sz w:val="32"/>
          <w:szCs w:val="32"/>
          <w:lang w:val="en-US"/>
        </w:rPr>
        <w:t>To engage students in developing their employability and graduate capabilit</w:t>
      </w:r>
      <w:r w:rsidRPr="00F61338">
        <w:rPr>
          <w:rFonts w:ascii="Arial" w:hAnsi="Arial" w:cs="Arial"/>
          <w:b/>
          <w:bCs/>
          <w:color w:val="E36C0A" w:themeColor="accent6" w:themeShade="BF"/>
          <w:sz w:val="32"/>
          <w:szCs w:val="32"/>
          <w:lang w:val="en-US"/>
        </w:rPr>
        <w:t>ies</w:t>
      </w:r>
      <w:r>
        <w:rPr>
          <w:rFonts w:ascii="Arial" w:hAnsi="Arial" w:cs="Arial"/>
          <w:b/>
          <w:bCs/>
          <w:color w:val="E36C0A" w:themeColor="accent6" w:themeShade="BF"/>
          <w:sz w:val="32"/>
          <w:szCs w:val="32"/>
          <w:lang w:val="en-US"/>
        </w:rPr>
        <w:br/>
      </w:r>
      <w:r w:rsidRPr="00F61338">
        <w:rPr>
          <w:rFonts w:ascii="Arial" w:hAnsi="Arial" w:cs="Arial"/>
          <w:b/>
          <w:bCs/>
          <w:color w:val="E36C0A" w:themeColor="accent6" w:themeShade="BF"/>
          <w:sz w:val="32"/>
          <w:szCs w:val="32"/>
          <w:lang w:val="en-US"/>
        </w:rPr>
        <w:t xml:space="preserve">through learning </w:t>
      </w:r>
      <w:r>
        <w:rPr>
          <w:rFonts w:ascii="Arial" w:hAnsi="Arial" w:cs="Arial"/>
          <w:b/>
          <w:bCs/>
          <w:color w:val="E36C0A" w:themeColor="accent6" w:themeShade="BF"/>
          <w:sz w:val="32"/>
          <w:szCs w:val="32"/>
          <w:lang w:val="en-US"/>
        </w:rPr>
        <w:t>and</w:t>
      </w:r>
      <w:r w:rsidRPr="00F61338">
        <w:rPr>
          <w:rFonts w:ascii="Arial" w:hAnsi="Arial" w:cs="Arial"/>
          <w:b/>
          <w:bCs/>
          <w:color w:val="E36C0A" w:themeColor="accent6" w:themeShade="BF"/>
          <w:sz w:val="32"/>
          <w:szCs w:val="32"/>
          <w:lang w:val="en-US"/>
        </w:rPr>
        <w:t xml:space="preserve"> teaching</w:t>
      </w:r>
    </w:p>
    <w:p w:rsidR="00F26D06" w:rsidRDefault="00F26D06">
      <w:pPr>
        <w:rPr>
          <w:rFonts w:ascii="Arial" w:hAnsi="Arial" w:cs="Arial"/>
          <w:b/>
          <w:bCs/>
          <w:color w:val="E36C0A" w:themeColor="accent6" w:themeShade="BF"/>
          <w:sz w:val="32"/>
          <w:szCs w:val="32"/>
          <w:lang w:val="en-US"/>
        </w:rPr>
      </w:pPr>
    </w:p>
    <w:p w:rsidR="00F26D06" w:rsidRDefault="00F26D06" w:rsidP="00F26D06">
      <w:pPr>
        <w:pStyle w:val="NormalWeb"/>
        <w:shd w:val="clear" w:color="auto" w:fill="FFFFFF"/>
        <w:spacing w:before="0" w:beforeAutospacing="0" w:after="0"/>
        <w:rPr>
          <w:rFonts w:ascii="Arial" w:hAnsi="Arial" w:cs="Arial"/>
          <w:lang w:val="en-US"/>
        </w:rPr>
      </w:pPr>
      <w:r w:rsidRPr="00F26D06">
        <w:rPr>
          <w:rFonts w:ascii="Arial" w:hAnsi="Arial" w:cs="Arial"/>
          <w:lang w:val="en-US"/>
        </w:rPr>
        <w:t>Help them to see the array of potential careers open to them. Many graduates feel they are all competing for the ‘same job’ – the one they believe is the ‘the’ destination for their graduate employment. In reality, most students will not secure jobs in these areas and need a window into other working worlds to which their skills can not only open the door but give them the potential for a long and fulfilling career.</w:t>
      </w:r>
    </w:p>
    <w:p w:rsidR="00F26D06" w:rsidRDefault="00F26D06" w:rsidP="00F26D06">
      <w:pPr>
        <w:pStyle w:val="NormalWeb"/>
        <w:shd w:val="clear" w:color="auto" w:fill="FFFFFF"/>
        <w:spacing w:before="0" w:beforeAutospacing="0" w:after="0"/>
        <w:rPr>
          <w:rStyle w:val="Strong"/>
          <w:rFonts w:ascii="Arial" w:hAnsi="Arial" w:cs="Arial"/>
          <w:lang w:val="en-US"/>
        </w:rPr>
      </w:pPr>
      <w:r w:rsidRPr="00E616F4">
        <w:rPr>
          <w:rStyle w:val="Strong"/>
          <w:rFonts w:ascii="Arial" w:hAnsi="Arial" w:cs="Arial"/>
          <w:color w:val="E36C0A" w:themeColor="accent6" w:themeShade="BF"/>
          <w:lang w:val="en-US"/>
        </w:rPr>
        <w:t>Charlotte Coleman</w:t>
      </w:r>
      <w:r w:rsidR="00E616F4">
        <w:rPr>
          <w:rStyle w:val="Strong"/>
          <w:rFonts w:ascii="Arial" w:hAnsi="Arial" w:cs="Arial"/>
          <w:lang w:val="en-US"/>
        </w:rPr>
        <w:t xml:space="preserve"> - </w:t>
      </w:r>
      <w:r w:rsidRPr="00F26D06">
        <w:rPr>
          <w:rStyle w:val="Strong"/>
          <w:rFonts w:ascii="Arial" w:hAnsi="Arial" w:cs="Arial"/>
          <w:lang w:val="en-US"/>
        </w:rPr>
        <w:t>Department of Psychology, Sociology &amp; Politics</w:t>
      </w:r>
    </w:p>
    <w:p w:rsidR="00F26D06" w:rsidRPr="00F26D06" w:rsidRDefault="00F26D06" w:rsidP="00F26D06">
      <w:pPr>
        <w:pStyle w:val="NormalWeb"/>
        <w:shd w:val="clear" w:color="auto" w:fill="FFFFFF"/>
        <w:spacing w:before="0" w:beforeAutospacing="0" w:after="0"/>
        <w:rPr>
          <w:rFonts w:ascii="Arial" w:hAnsi="Arial" w:cs="Arial"/>
          <w:lang w:val="en-US"/>
        </w:rPr>
      </w:pPr>
    </w:p>
    <w:p w:rsidR="00F26D06" w:rsidRDefault="00F26D06" w:rsidP="00F26D06">
      <w:pPr>
        <w:pStyle w:val="NormalWeb"/>
        <w:shd w:val="clear" w:color="auto" w:fill="FFFFFF"/>
        <w:spacing w:before="0" w:beforeAutospacing="0" w:after="0"/>
        <w:rPr>
          <w:rFonts w:ascii="Arial" w:hAnsi="Arial" w:cs="Arial"/>
          <w:lang w:val="en-US"/>
        </w:rPr>
      </w:pPr>
      <w:r w:rsidRPr="00F26D06">
        <w:rPr>
          <w:rFonts w:ascii="Arial" w:hAnsi="Arial" w:cs="Arial"/>
          <w:lang w:val="en-US"/>
        </w:rPr>
        <w:t xml:space="preserve">Get into the habit of devoting some time at the end of taught sessions to helping students reflect on which aspects of the session they felt were relevant to their employability, and how they are relevant. </w:t>
      </w:r>
    </w:p>
    <w:p w:rsidR="00F26D06" w:rsidRDefault="00F26D06" w:rsidP="00F26D06">
      <w:pPr>
        <w:pStyle w:val="NormalWeb"/>
        <w:shd w:val="clear" w:color="auto" w:fill="FFFFFF"/>
        <w:spacing w:before="0" w:beforeAutospacing="0" w:after="0"/>
        <w:rPr>
          <w:rStyle w:val="Strong"/>
          <w:rFonts w:ascii="Arial" w:hAnsi="Arial" w:cs="Arial"/>
          <w:lang w:val="en-US"/>
        </w:rPr>
      </w:pPr>
      <w:r w:rsidRPr="00E616F4">
        <w:rPr>
          <w:rStyle w:val="Strong"/>
          <w:rFonts w:ascii="Arial" w:hAnsi="Arial" w:cs="Arial"/>
          <w:color w:val="E36C0A" w:themeColor="accent6" w:themeShade="BF"/>
          <w:lang w:val="en-US"/>
        </w:rPr>
        <w:t xml:space="preserve">Pam </w:t>
      </w:r>
      <w:proofErr w:type="spellStart"/>
      <w:r w:rsidRPr="00E616F4">
        <w:rPr>
          <w:rStyle w:val="Strong"/>
          <w:rFonts w:ascii="Arial" w:hAnsi="Arial" w:cs="Arial"/>
          <w:color w:val="E36C0A" w:themeColor="accent6" w:themeShade="BF"/>
          <w:lang w:val="en-US"/>
        </w:rPr>
        <w:t>Dewis</w:t>
      </w:r>
      <w:proofErr w:type="spellEnd"/>
      <w:r w:rsidR="00E616F4">
        <w:rPr>
          <w:rStyle w:val="Strong"/>
          <w:rFonts w:ascii="Arial" w:hAnsi="Arial" w:cs="Arial"/>
          <w:lang w:val="en-US"/>
        </w:rPr>
        <w:t xml:space="preserve"> -</w:t>
      </w:r>
      <w:r w:rsidRPr="00F26D06">
        <w:rPr>
          <w:rStyle w:val="Strong"/>
          <w:rFonts w:ascii="Arial" w:hAnsi="Arial" w:cs="Arial"/>
          <w:lang w:val="en-US"/>
        </w:rPr>
        <w:t xml:space="preserve"> Department of Education, Childhood and Inclusion</w:t>
      </w:r>
    </w:p>
    <w:p w:rsidR="00F26D06" w:rsidRPr="00F26D06" w:rsidRDefault="00F26D06" w:rsidP="00F26D06">
      <w:pPr>
        <w:pStyle w:val="NormalWeb"/>
        <w:shd w:val="clear" w:color="auto" w:fill="FFFFFF"/>
        <w:spacing w:before="0" w:beforeAutospacing="0" w:after="0"/>
        <w:rPr>
          <w:rFonts w:ascii="Arial" w:hAnsi="Arial" w:cs="Arial"/>
          <w:lang w:val="en-US"/>
        </w:rPr>
      </w:pPr>
    </w:p>
    <w:p w:rsidR="00F26D06" w:rsidRDefault="00F26D06" w:rsidP="00F26D06">
      <w:pPr>
        <w:pStyle w:val="NormalWeb"/>
        <w:shd w:val="clear" w:color="auto" w:fill="FFFFFF"/>
        <w:spacing w:before="0" w:beforeAutospacing="0" w:after="0"/>
        <w:rPr>
          <w:rFonts w:ascii="Arial" w:hAnsi="Arial" w:cs="Arial"/>
          <w:lang w:val="en-US"/>
        </w:rPr>
      </w:pPr>
      <w:r w:rsidRPr="00F26D06">
        <w:rPr>
          <w:rFonts w:ascii="Arial" w:hAnsi="Arial" w:cs="Arial"/>
          <w:lang w:val="en-US"/>
        </w:rPr>
        <w:t xml:space="preserve">Encourage failure ‘in the classroom’…Getting something wrong is not the issue, not wanting/being allowed to understand the ways in which the students can improve is the problem. </w:t>
      </w:r>
    </w:p>
    <w:p w:rsidR="00F26D06" w:rsidRDefault="00F26D06" w:rsidP="00F26D06">
      <w:pPr>
        <w:pStyle w:val="NormalWeb"/>
        <w:shd w:val="clear" w:color="auto" w:fill="FFFFFF"/>
        <w:spacing w:before="0" w:beforeAutospacing="0" w:after="0"/>
        <w:rPr>
          <w:rStyle w:val="Strong"/>
          <w:rFonts w:ascii="Arial" w:hAnsi="Arial" w:cs="Arial"/>
          <w:lang w:val="en-US"/>
        </w:rPr>
      </w:pPr>
      <w:r w:rsidRPr="00E616F4">
        <w:rPr>
          <w:rStyle w:val="Strong"/>
          <w:rFonts w:ascii="Arial" w:hAnsi="Arial" w:cs="Arial"/>
          <w:color w:val="E36C0A" w:themeColor="accent6" w:themeShade="BF"/>
          <w:lang w:val="en-US"/>
        </w:rPr>
        <w:t>Glen Cookson</w:t>
      </w:r>
      <w:r w:rsidR="00E616F4">
        <w:rPr>
          <w:rStyle w:val="Strong"/>
          <w:rFonts w:ascii="Arial" w:hAnsi="Arial" w:cs="Arial"/>
          <w:lang w:val="en-US"/>
        </w:rPr>
        <w:t xml:space="preserve"> - </w:t>
      </w:r>
      <w:r w:rsidRPr="00F26D06">
        <w:rPr>
          <w:rStyle w:val="Strong"/>
          <w:rFonts w:ascii="Arial" w:hAnsi="Arial" w:cs="Arial"/>
          <w:lang w:val="en-US"/>
        </w:rPr>
        <w:t>Department of Finance, Accounting &amp; Business Systems</w:t>
      </w:r>
    </w:p>
    <w:p w:rsidR="00F26D06" w:rsidRPr="00F26D06" w:rsidRDefault="00F26D06" w:rsidP="00F26D06">
      <w:pPr>
        <w:pStyle w:val="NormalWeb"/>
        <w:shd w:val="clear" w:color="auto" w:fill="FFFFFF"/>
        <w:spacing w:before="0" w:beforeAutospacing="0" w:after="0"/>
        <w:rPr>
          <w:rFonts w:ascii="Arial" w:hAnsi="Arial" w:cs="Arial"/>
          <w:lang w:val="en-US"/>
        </w:rPr>
      </w:pPr>
    </w:p>
    <w:p w:rsidR="00F26D06" w:rsidRDefault="00F26D06" w:rsidP="00F26D06">
      <w:pPr>
        <w:pStyle w:val="NormalWeb"/>
        <w:shd w:val="clear" w:color="auto" w:fill="FFFFFF"/>
        <w:spacing w:before="0" w:beforeAutospacing="0" w:after="0"/>
        <w:rPr>
          <w:rFonts w:ascii="Arial" w:hAnsi="Arial" w:cs="Arial"/>
          <w:lang w:val="en-US"/>
        </w:rPr>
      </w:pPr>
      <w:r w:rsidRPr="00F26D06">
        <w:rPr>
          <w:rFonts w:ascii="Arial" w:hAnsi="Arial" w:cs="Arial"/>
          <w:lang w:val="en-US"/>
        </w:rPr>
        <w:t>Have an overview of what capabilities are being focused on over the whole course. In order to not try and do everything and end up doing nothing</w:t>
      </w:r>
    </w:p>
    <w:p w:rsidR="00F26D06" w:rsidRDefault="00F26D06" w:rsidP="00F26D06">
      <w:pPr>
        <w:pStyle w:val="NormalWeb"/>
        <w:shd w:val="clear" w:color="auto" w:fill="FFFFFF"/>
        <w:spacing w:before="0" w:beforeAutospacing="0" w:after="0"/>
        <w:rPr>
          <w:rStyle w:val="Strong"/>
          <w:rFonts w:ascii="Arial" w:hAnsi="Arial" w:cs="Arial"/>
          <w:lang w:val="en-US"/>
        </w:rPr>
      </w:pPr>
      <w:r w:rsidRPr="00E616F4">
        <w:rPr>
          <w:rStyle w:val="Strong"/>
          <w:rFonts w:ascii="Arial" w:hAnsi="Arial" w:cs="Arial"/>
          <w:color w:val="E36C0A" w:themeColor="accent6" w:themeShade="BF"/>
          <w:lang w:val="en-US"/>
        </w:rPr>
        <w:t>Henry Bell</w:t>
      </w:r>
      <w:r w:rsidR="00E616F4">
        <w:rPr>
          <w:rStyle w:val="Strong"/>
          <w:rFonts w:ascii="Arial" w:hAnsi="Arial" w:cs="Arial"/>
          <w:lang w:val="en-US"/>
        </w:rPr>
        <w:t xml:space="preserve"> -</w:t>
      </w:r>
      <w:r w:rsidRPr="00F26D06">
        <w:rPr>
          <w:rStyle w:val="Strong"/>
          <w:rFonts w:ascii="Arial" w:hAnsi="Arial" w:cs="Arial"/>
          <w:lang w:val="en-US"/>
        </w:rPr>
        <w:t xml:space="preserve"> Department of Humanities</w:t>
      </w:r>
    </w:p>
    <w:p w:rsidR="00F26D06" w:rsidRPr="00F26D06" w:rsidRDefault="00F26D06" w:rsidP="00F26D06">
      <w:pPr>
        <w:pStyle w:val="NormalWeb"/>
        <w:shd w:val="clear" w:color="auto" w:fill="FFFFFF"/>
        <w:spacing w:before="0" w:beforeAutospacing="0" w:after="0"/>
        <w:rPr>
          <w:rFonts w:ascii="Arial" w:hAnsi="Arial" w:cs="Arial"/>
          <w:lang w:val="en-US"/>
        </w:rPr>
      </w:pPr>
    </w:p>
    <w:p w:rsidR="00F26D06" w:rsidRDefault="00F26D06" w:rsidP="00F26D06">
      <w:pPr>
        <w:pStyle w:val="NormalWeb"/>
        <w:shd w:val="clear" w:color="auto" w:fill="FFFFFF"/>
        <w:spacing w:before="0" w:beforeAutospacing="0" w:after="0"/>
        <w:rPr>
          <w:rFonts w:ascii="Arial" w:hAnsi="Arial" w:cs="Arial"/>
          <w:lang w:val="en-US"/>
        </w:rPr>
      </w:pPr>
      <w:r w:rsidRPr="00F26D06">
        <w:rPr>
          <w:rFonts w:ascii="Arial" w:hAnsi="Arial" w:cs="Arial"/>
          <w:lang w:val="en-US"/>
        </w:rPr>
        <w:t>The requirements and expectations of employers change over time and h</w:t>
      </w:r>
      <w:bookmarkStart w:id="0" w:name="_GoBack"/>
      <w:r w:rsidRPr="00F26D06">
        <w:rPr>
          <w:rFonts w:ascii="Arial" w:hAnsi="Arial" w:cs="Arial"/>
          <w:lang w:val="en-US"/>
        </w:rPr>
        <w:t>a</w:t>
      </w:r>
      <w:bookmarkEnd w:id="0"/>
      <w:r w:rsidRPr="00F26D06">
        <w:rPr>
          <w:rFonts w:ascii="Arial" w:hAnsi="Arial" w:cs="Arial"/>
          <w:lang w:val="en-US"/>
        </w:rPr>
        <w:t>ve different expectations of students at different levels. Think beyond the 3 years! Maintain continuous engagement with industry</w:t>
      </w:r>
    </w:p>
    <w:p w:rsidR="00F26D06" w:rsidRDefault="00F26D06" w:rsidP="00F26D06">
      <w:pPr>
        <w:pStyle w:val="NormalWeb"/>
        <w:shd w:val="clear" w:color="auto" w:fill="FFFFFF"/>
        <w:spacing w:before="0" w:beforeAutospacing="0" w:after="0"/>
        <w:rPr>
          <w:rStyle w:val="Strong"/>
          <w:rFonts w:ascii="Arial" w:hAnsi="Arial" w:cs="Arial"/>
          <w:lang w:val="en-US"/>
        </w:rPr>
      </w:pPr>
      <w:r w:rsidRPr="00E616F4">
        <w:rPr>
          <w:rStyle w:val="Strong"/>
          <w:rFonts w:ascii="Arial" w:hAnsi="Arial" w:cs="Arial"/>
          <w:color w:val="E36C0A" w:themeColor="accent6" w:themeShade="BF"/>
          <w:lang w:val="en-US"/>
        </w:rPr>
        <w:t>Charlotte Rowley</w:t>
      </w:r>
      <w:r w:rsidR="00E616F4">
        <w:rPr>
          <w:rStyle w:val="Strong"/>
          <w:rFonts w:ascii="Arial" w:hAnsi="Arial" w:cs="Arial"/>
          <w:lang w:val="en-US"/>
        </w:rPr>
        <w:t xml:space="preserve"> -</w:t>
      </w:r>
      <w:r w:rsidRPr="00F26D06">
        <w:rPr>
          <w:rStyle w:val="Strong"/>
          <w:rFonts w:ascii="Arial" w:hAnsi="Arial" w:cs="Arial"/>
          <w:lang w:val="en-US"/>
        </w:rPr>
        <w:t xml:space="preserve"> Department of Service Sector Management</w:t>
      </w:r>
    </w:p>
    <w:p w:rsidR="00F26D06" w:rsidRPr="00F26D06" w:rsidRDefault="00F26D06" w:rsidP="00F26D06">
      <w:pPr>
        <w:pStyle w:val="NormalWeb"/>
        <w:shd w:val="clear" w:color="auto" w:fill="FFFFFF"/>
        <w:spacing w:before="0" w:beforeAutospacing="0" w:after="0"/>
        <w:rPr>
          <w:rFonts w:ascii="Arial" w:hAnsi="Arial" w:cs="Arial"/>
          <w:lang w:val="en-US"/>
        </w:rPr>
      </w:pPr>
    </w:p>
    <w:p w:rsidR="00F26D06" w:rsidRDefault="00F26D06" w:rsidP="00F26D06">
      <w:pPr>
        <w:pStyle w:val="NormalWeb"/>
        <w:shd w:val="clear" w:color="auto" w:fill="FFFFFF"/>
        <w:spacing w:before="0" w:beforeAutospacing="0" w:after="0"/>
        <w:rPr>
          <w:rFonts w:ascii="Arial" w:hAnsi="Arial" w:cs="Arial"/>
          <w:lang w:val="en-US"/>
        </w:rPr>
      </w:pPr>
      <w:r w:rsidRPr="00F26D06">
        <w:rPr>
          <w:rFonts w:ascii="Arial" w:hAnsi="Arial" w:cs="Arial"/>
          <w:lang w:val="en-US"/>
        </w:rPr>
        <w:t>Understand context and value</w:t>
      </w:r>
    </w:p>
    <w:p w:rsidR="00F26D06" w:rsidRDefault="00F26D06" w:rsidP="00F26D06">
      <w:pPr>
        <w:pStyle w:val="NormalWeb"/>
        <w:shd w:val="clear" w:color="auto" w:fill="FFFFFF"/>
        <w:spacing w:before="0" w:beforeAutospacing="0" w:after="0"/>
        <w:rPr>
          <w:rStyle w:val="Strong"/>
          <w:rFonts w:ascii="Arial" w:hAnsi="Arial" w:cs="Arial"/>
          <w:lang w:val="en-US"/>
        </w:rPr>
      </w:pPr>
      <w:r w:rsidRPr="00E616F4">
        <w:rPr>
          <w:rStyle w:val="Strong"/>
          <w:rFonts w:ascii="Arial" w:hAnsi="Arial" w:cs="Arial"/>
          <w:color w:val="E36C0A" w:themeColor="accent6" w:themeShade="BF"/>
          <w:lang w:val="en-US"/>
        </w:rPr>
        <w:t>Kim Lawson</w:t>
      </w:r>
      <w:r w:rsidR="00E616F4">
        <w:rPr>
          <w:rStyle w:val="Strong"/>
          <w:rFonts w:ascii="Arial" w:hAnsi="Arial" w:cs="Arial"/>
          <w:lang w:val="en-US"/>
        </w:rPr>
        <w:t xml:space="preserve"> -</w:t>
      </w:r>
      <w:r w:rsidRPr="00F26D06">
        <w:rPr>
          <w:rStyle w:val="Strong"/>
          <w:rFonts w:ascii="Arial" w:hAnsi="Arial" w:cs="Arial"/>
          <w:lang w:val="en-US"/>
        </w:rPr>
        <w:t xml:space="preserve"> Department of Bioscience &amp; Chemistry</w:t>
      </w:r>
    </w:p>
    <w:p w:rsidR="00F26D06" w:rsidRPr="00F26D06" w:rsidRDefault="00F26D06" w:rsidP="00F26D06">
      <w:pPr>
        <w:pStyle w:val="NormalWeb"/>
        <w:shd w:val="clear" w:color="auto" w:fill="FFFFFF"/>
        <w:spacing w:before="0" w:beforeAutospacing="0" w:after="0"/>
        <w:rPr>
          <w:rFonts w:ascii="Arial" w:hAnsi="Arial" w:cs="Arial"/>
          <w:lang w:val="en-US"/>
        </w:rPr>
      </w:pPr>
    </w:p>
    <w:p w:rsidR="00F26D06" w:rsidRDefault="00F26D06" w:rsidP="00F26D06">
      <w:pPr>
        <w:pStyle w:val="NormalWeb"/>
        <w:shd w:val="clear" w:color="auto" w:fill="FFFFFF"/>
        <w:spacing w:before="0" w:beforeAutospacing="0" w:after="0"/>
        <w:rPr>
          <w:rFonts w:ascii="Arial" w:hAnsi="Arial" w:cs="Arial"/>
          <w:lang w:val="en-US"/>
        </w:rPr>
      </w:pPr>
      <w:r w:rsidRPr="00F26D06">
        <w:rPr>
          <w:rFonts w:ascii="Arial" w:hAnsi="Arial" w:cs="Arial"/>
          <w:lang w:val="en-US"/>
        </w:rPr>
        <w:t>Encourage students to develop and maintain professional relationships with their peers, academics and professional staff. Encourage students to engage in self-development.</w:t>
      </w:r>
    </w:p>
    <w:p w:rsidR="00F26D06" w:rsidRPr="00F26D06" w:rsidRDefault="00F26D06" w:rsidP="00F26D06">
      <w:pPr>
        <w:pStyle w:val="NormalWeb"/>
        <w:shd w:val="clear" w:color="auto" w:fill="FFFFFF"/>
        <w:spacing w:before="0" w:beforeAutospacing="0" w:after="0"/>
        <w:rPr>
          <w:rFonts w:ascii="Arial" w:hAnsi="Arial" w:cs="Arial"/>
          <w:lang w:val="en-US"/>
        </w:rPr>
      </w:pPr>
      <w:r w:rsidRPr="00E616F4">
        <w:rPr>
          <w:rStyle w:val="Strong"/>
          <w:rFonts w:ascii="Arial" w:hAnsi="Arial" w:cs="Arial"/>
          <w:color w:val="E36C0A" w:themeColor="accent6" w:themeShade="BF"/>
          <w:lang w:val="en-US"/>
        </w:rPr>
        <w:t>Richard Wilkinson</w:t>
      </w:r>
      <w:r w:rsidR="00E616F4">
        <w:rPr>
          <w:rStyle w:val="Strong"/>
          <w:rFonts w:ascii="Arial" w:hAnsi="Arial" w:cs="Arial"/>
          <w:lang w:val="en-US"/>
        </w:rPr>
        <w:t xml:space="preserve"> -</w:t>
      </w:r>
      <w:r w:rsidRPr="00F26D06">
        <w:rPr>
          <w:rStyle w:val="Strong"/>
          <w:rFonts w:ascii="Arial" w:hAnsi="Arial" w:cs="Arial"/>
          <w:lang w:val="en-US"/>
        </w:rPr>
        <w:t xml:space="preserve"> Department of Finance, Accounting &amp; Business Systems</w:t>
      </w:r>
    </w:p>
    <w:p w:rsidR="00F26D06" w:rsidRPr="00F26D06" w:rsidRDefault="00F26D06">
      <w:pPr>
        <w:rPr>
          <w:rFonts w:ascii="Arial" w:hAnsi="Arial" w:cs="Arial"/>
          <w:b/>
          <w:color w:val="E36C0A" w:themeColor="accent6" w:themeShade="BF"/>
          <w:sz w:val="32"/>
          <w:szCs w:val="32"/>
          <w:lang w:val="en-US"/>
        </w:rPr>
      </w:pPr>
    </w:p>
    <w:sectPr w:rsidR="00F26D06" w:rsidRPr="00F26D06" w:rsidSect="00F613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38"/>
    <w:rsid w:val="00004236"/>
    <w:rsid w:val="00004E1D"/>
    <w:rsid w:val="000446E9"/>
    <w:rsid w:val="00067762"/>
    <w:rsid w:val="000822BF"/>
    <w:rsid w:val="00093D60"/>
    <w:rsid w:val="000A4EA8"/>
    <w:rsid w:val="000D1CDF"/>
    <w:rsid w:val="000D278B"/>
    <w:rsid w:val="000D7206"/>
    <w:rsid w:val="000E78FD"/>
    <w:rsid w:val="001144F9"/>
    <w:rsid w:val="00122757"/>
    <w:rsid w:val="00137FBA"/>
    <w:rsid w:val="00157E97"/>
    <w:rsid w:val="00163261"/>
    <w:rsid w:val="00163397"/>
    <w:rsid w:val="00164794"/>
    <w:rsid w:val="00166F7F"/>
    <w:rsid w:val="0017636F"/>
    <w:rsid w:val="001B3754"/>
    <w:rsid w:val="001D530C"/>
    <w:rsid w:val="001D5E30"/>
    <w:rsid w:val="0020118E"/>
    <w:rsid w:val="0020319B"/>
    <w:rsid w:val="00204096"/>
    <w:rsid w:val="00210DDE"/>
    <w:rsid w:val="002337C1"/>
    <w:rsid w:val="00245625"/>
    <w:rsid w:val="0025141E"/>
    <w:rsid w:val="00254262"/>
    <w:rsid w:val="002741AF"/>
    <w:rsid w:val="0027559C"/>
    <w:rsid w:val="00275D00"/>
    <w:rsid w:val="00281FA6"/>
    <w:rsid w:val="00290F63"/>
    <w:rsid w:val="00297BE5"/>
    <w:rsid w:val="002A435F"/>
    <w:rsid w:val="002A4892"/>
    <w:rsid w:val="002B5B6D"/>
    <w:rsid w:val="002E6148"/>
    <w:rsid w:val="002E7784"/>
    <w:rsid w:val="00304631"/>
    <w:rsid w:val="00324121"/>
    <w:rsid w:val="003306AE"/>
    <w:rsid w:val="00351756"/>
    <w:rsid w:val="00363674"/>
    <w:rsid w:val="003647F1"/>
    <w:rsid w:val="00382245"/>
    <w:rsid w:val="00390637"/>
    <w:rsid w:val="003A083C"/>
    <w:rsid w:val="003E08F6"/>
    <w:rsid w:val="003E2EC4"/>
    <w:rsid w:val="003E44B8"/>
    <w:rsid w:val="003F249E"/>
    <w:rsid w:val="003F6C48"/>
    <w:rsid w:val="004117F8"/>
    <w:rsid w:val="00423899"/>
    <w:rsid w:val="00426F3C"/>
    <w:rsid w:val="00442EEC"/>
    <w:rsid w:val="00472040"/>
    <w:rsid w:val="0047763F"/>
    <w:rsid w:val="00480CDB"/>
    <w:rsid w:val="004A15E8"/>
    <w:rsid w:val="004B39F7"/>
    <w:rsid w:val="004C620B"/>
    <w:rsid w:val="004C7D23"/>
    <w:rsid w:val="004D1803"/>
    <w:rsid w:val="004E2DB0"/>
    <w:rsid w:val="004E6C41"/>
    <w:rsid w:val="004F7515"/>
    <w:rsid w:val="00506C71"/>
    <w:rsid w:val="00507E99"/>
    <w:rsid w:val="005112FE"/>
    <w:rsid w:val="005219F9"/>
    <w:rsid w:val="005401A7"/>
    <w:rsid w:val="005407C6"/>
    <w:rsid w:val="00553BD7"/>
    <w:rsid w:val="005560DC"/>
    <w:rsid w:val="0056267F"/>
    <w:rsid w:val="00571F53"/>
    <w:rsid w:val="005B0A83"/>
    <w:rsid w:val="00602221"/>
    <w:rsid w:val="00634EAA"/>
    <w:rsid w:val="0065116F"/>
    <w:rsid w:val="00654881"/>
    <w:rsid w:val="00660CB7"/>
    <w:rsid w:val="00667599"/>
    <w:rsid w:val="00674713"/>
    <w:rsid w:val="006774BD"/>
    <w:rsid w:val="00682598"/>
    <w:rsid w:val="006A23CD"/>
    <w:rsid w:val="006B1780"/>
    <w:rsid w:val="006D3F97"/>
    <w:rsid w:val="006E206D"/>
    <w:rsid w:val="00702A64"/>
    <w:rsid w:val="00703F5F"/>
    <w:rsid w:val="00736BE5"/>
    <w:rsid w:val="00755F7F"/>
    <w:rsid w:val="007678F0"/>
    <w:rsid w:val="007746CE"/>
    <w:rsid w:val="00790C48"/>
    <w:rsid w:val="0079559B"/>
    <w:rsid w:val="00825F4F"/>
    <w:rsid w:val="00854286"/>
    <w:rsid w:val="00864E14"/>
    <w:rsid w:val="008741BC"/>
    <w:rsid w:val="008A5B19"/>
    <w:rsid w:val="008C6902"/>
    <w:rsid w:val="008E36CD"/>
    <w:rsid w:val="008E6C57"/>
    <w:rsid w:val="00910785"/>
    <w:rsid w:val="00926F8A"/>
    <w:rsid w:val="009357C3"/>
    <w:rsid w:val="0094462F"/>
    <w:rsid w:val="0095417E"/>
    <w:rsid w:val="00974735"/>
    <w:rsid w:val="009A2133"/>
    <w:rsid w:val="009B6B82"/>
    <w:rsid w:val="009C3717"/>
    <w:rsid w:val="009D7150"/>
    <w:rsid w:val="00A059CD"/>
    <w:rsid w:val="00A23081"/>
    <w:rsid w:val="00A479D7"/>
    <w:rsid w:val="00A5323C"/>
    <w:rsid w:val="00A70478"/>
    <w:rsid w:val="00A707B3"/>
    <w:rsid w:val="00A80EA3"/>
    <w:rsid w:val="00AF0156"/>
    <w:rsid w:val="00B16CBB"/>
    <w:rsid w:val="00B16DCD"/>
    <w:rsid w:val="00B31FF0"/>
    <w:rsid w:val="00B33F07"/>
    <w:rsid w:val="00B460F2"/>
    <w:rsid w:val="00B852FD"/>
    <w:rsid w:val="00B90F39"/>
    <w:rsid w:val="00B94B52"/>
    <w:rsid w:val="00B96134"/>
    <w:rsid w:val="00B973EF"/>
    <w:rsid w:val="00BA632D"/>
    <w:rsid w:val="00BB3606"/>
    <w:rsid w:val="00BB55CD"/>
    <w:rsid w:val="00BB6B58"/>
    <w:rsid w:val="00BC4139"/>
    <w:rsid w:val="00BE41FB"/>
    <w:rsid w:val="00BE50DB"/>
    <w:rsid w:val="00BF25D9"/>
    <w:rsid w:val="00C25AC4"/>
    <w:rsid w:val="00C40BD5"/>
    <w:rsid w:val="00C42ADF"/>
    <w:rsid w:val="00C42DEC"/>
    <w:rsid w:val="00C617FB"/>
    <w:rsid w:val="00C61B9D"/>
    <w:rsid w:val="00C676F1"/>
    <w:rsid w:val="00C7476A"/>
    <w:rsid w:val="00C80F0E"/>
    <w:rsid w:val="00C85F76"/>
    <w:rsid w:val="00C9462F"/>
    <w:rsid w:val="00CA1213"/>
    <w:rsid w:val="00CB694B"/>
    <w:rsid w:val="00CD25AC"/>
    <w:rsid w:val="00CD54CB"/>
    <w:rsid w:val="00D03192"/>
    <w:rsid w:val="00D06388"/>
    <w:rsid w:val="00D12851"/>
    <w:rsid w:val="00D21FCF"/>
    <w:rsid w:val="00D22A2D"/>
    <w:rsid w:val="00D2487F"/>
    <w:rsid w:val="00D251E4"/>
    <w:rsid w:val="00D2742A"/>
    <w:rsid w:val="00D30218"/>
    <w:rsid w:val="00D34201"/>
    <w:rsid w:val="00D41DC2"/>
    <w:rsid w:val="00DA0690"/>
    <w:rsid w:val="00DB1029"/>
    <w:rsid w:val="00DC1878"/>
    <w:rsid w:val="00DC736F"/>
    <w:rsid w:val="00DD4B75"/>
    <w:rsid w:val="00DD6DD8"/>
    <w:rsid w:val="00DE5DED"/>
    <w:rsid w:val="00E24F8B"/>
    <w:rsid w:val="00E274A2"/>
    <w:rsid w:val="00E338EA"/>
    <w:rsid w:val="00E55F1E"/>
    <w:rsid w:val="00E568C4"/>
    <w:rsid w:val="00E616F4"/>
    <w:rsid w:val="00E83862"/>
    <w:rsid w:val="00E84D6A"/>
    <w:rsid w:val="00E869A7"/>
    <w:rsid w:val="00EA332C"/>
    <w:rsid w:val="00EA6F40"/>
    <w:rsid w:val="00ED1171"/>
    <w:rsid w:val="00ED1776"/>
    <w:rsid w:val="00F06788"/>
    <w:rsid w:val="00F145CA"/>
    <w:rsid w:val="00F24B8A"/>
    <w:rsid w:val="00F26D06"/>
    <w:rsid w:val="00F32ADE"/>
    <w:rsid w:val="00F36E31"/>
    <w:rsid w:val="00F55314"/>
    <w:rsid w:val="00F5655B"/>
    <w:rsid w:val="00F56BC8"/>
    <w:rsid w:val="00F61338"/>
    <w:rsid w:val="00F7055D"/>
    <w:rsid w:val="00F70713"/>
    <w:rsid w:val="00F8548B"/>
    <w:rsid w:val="00F97B51"/>
    <w:rsid w:val="00FA392A"/>
    <w:rsid w:val="00FC3462"/>
    <w:rsid w:val="00FD446E"/>
    <w:rsid w:val="00FE52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38"/>
    <w:rPr>
      <w:rFonts w:ascii="Tahoma" w:hAnsi="Tahoma" w:cs="Tahoma"/>
      <w:sz w:val="16"/>
      <w:szCs w:val="16"/>
    </w:rPr>
  </w:style>
  <w:style w:type="character" w:styleId="Strong">
    <w:name w:val="Strong"/>
    <w:basedOn w:val="DefaultParagraphFont"/>
    <w:uiPriority w:val="22"/>
    <w:qFormat/>
    <w:rsid w:val="00F26D06"/>
    <w:rPr>
      <w:b/>
      <w:bCs/>
    </w:rPr>
  </w:style>
  <w:style w:type="paragraph" w:styleId="NormalWeb">
    <w:name w:val="Normal (Web)"/>
    <w:basedOn w:val="Normal"/>
    <w:uiPriority w:val="99"/>
    <w:semiHidden/>
    <w:unhideWhenUsed/>
    <w:rsid w:val="00F26D06"/>
    <w:pPr>
      <w:spacing w:before="100" w:beforeAutospacing="1" w:after="36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38"/>
    <w:rPr>
      <w:rFonts w:ascii="Tahoma" w:hAnsi="Tahoma" w:cs="Tahoma"/>
      <w:sz w:val="16"/>
      <w:szCs w:val="16"/>
    </w:rPr>
  </w:style>
  <w:style w:type="character" w:styleId="Strong">
    <w:name w:val="Strong"/>
    <w:basedOn w:val="DefaultParagraphFont"/>
    <w:uiPriority w:val="22"/>
    <w:qFormat/>
    <w:rsid w:val="00F26D06"/>
    <w:rPr>
      <w:b/>
      <w:bCs/>
    </w:rPr>
  </w:style>
  <w:style w:type="paragraph" w:styleId="NormalWeb">
    <w:name w:val="Normal (Web)"/>
    <w:basedOn w:val="Normal"/>
    <w:uiPriority w:val="99"/>
    <w:semiHidden/>
    <w:unhideWhenUsed/>
    <w:rsid w:val="00F26D06"/>
    <w:pPr>
      <w:spacing w:before="100" w:beforeAutospacing="1"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0307">
      <w:bodyDiv w:val="1"/>
      <w:marLeft w:val="0"/>
      <w:marRight w:val="0"/>
      <w:marTop w:val="0"/>
      <w:marBottom w:val="0"/>
      <w:divBdr>
        <w:top w:val="none" w:sz="0" w:space="0" w:color="auto"/>
        <w:left w:val="none" w:sz="0" w:space="0" w:color="auto"/>
        <w:bottom w:val="none" w:sz="0" w:space="0" w:color="auto"/>
        <w:right w:val="none" w:sz="0" w:space="0" w:color="auto"/>
      </w:divBdr>
      <w:divsChild>
        <w:div w:id="1149663755">
          <w:marLeft w:val="0"/>
          <w:marRight w:val="0"/>
          <w:marTop w:val="0"/>
          <w:marBottom w:val="0"/>
          <w:divBdr>
            <w:top w:val="none" w:sz="0" w:space="0" w:color="auto"/>
            <w:left w:val="none" w:sz="0" w:space="0" w:color="auto"/>
            <w:bottom w:val="none" w:sz="0" w:space="0" w:color="auto"/>
            <w:right w:val="none" w:sz="0" w:space="0" w:color="auto"/>
          </w:divBdr>
          <w:divsChild>
            <w:div w:id="2106993175">
              <w:marLeft w:val="0"/>
              <w:marRight w:val="0"/>
              <w:marTop w:val="0"/>
              <w:marBottom w:val="0"/>
              <w:divBdr>
                <w:top w:val="none" w:sz="0" w:space="0" w:color="auto"/>
                <w:left w:val="none" w:sz="0" w:space="0" w:color="auto"/>
                <w:bottom w:val="none" w:sz="0" w:space="0" w:color="auto"/>
                <w:right w:val="none" w:sz="0" w:space="0" w:color="auto"/>
              </w:divBdr>
              <w:divsChild>
                <w:div w:id="650912690">
                  <w:marLeft w:val="0"/>
                  <w:marRight w:val="150"/>
                  <w:marTop w:val="0"/>
                  <w:marBottom w:val="0"/>
                  <w:divBdr>
                    <w:top w:val="none" w:sz="0" w:space="0" w:color="auto"/>
                    <w:left w:val="none" w:sz="0" w:space="0" w:color="auto"/>
                    <w:bottom w:val="none" w:sz="0" w:space="0" w:color="auto"/>
                    <w:right w:val="none" w:sz="0" w:space="0" w:color="auto"/>
                  </w:divBdr>
                  <w:divsChild>
                    <w:div w:id="1810782992">
                      <w:marLeft w:val="0"/>
                      <w:marRight w:val="0"/>
                      <w:marTop w:val="0"/>
                      <w:marBottom w:val="0"/>
                      <w:divBdr>
                        <w:top w:val="none" w:sz="0" w:space="0" w:color="auto"/>
                        <w:left w:val="none" w:sz="0" w:space="0" w:color="auto"/>
                        <w:bottom w:val="none" w:sz="0" w:space="0" w:color="auto"/>
                        <w:right w:val="none" w:sz="0" w:space="0" w:color="auto"/>
                      </w:divBdr>
                      <w:divsChild>
                        <w:div w:id="1195341421">
                          <w:marLeft w:val="0"/>
                          <w:marRight w:val="0"/>
                          <w:marTop w:val="360"/>
                          <w:marBottom w:val="0"/>
                          <w:divBdr>
                            <w:top w:val="none" w:sz="0" w:space="0" w:color="auto"/>
                            <w:left w:val="none" w:sz="0" w:space="0" w:color="auto"/>
                            <w:bottom w:val="none" w:sz="0" w:space="0" w:color="auto"/>
                            <w:right w:val="none" w:sz="0" w:space="0" w:color="auto"/>
                          </w:divBdr>
                          <w:divsChild>
                            <w:div w:id="2759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3</cp:revision>
  <dcterms:created xsi:type="dcterms:W3CDTF">2019-10-11T10:16:00Z</dcterms:created>
  <dcterms:modified xsi:type="dcterms:W3CDTF">2019-10-11T10:22:00Z</dcterms:modified>
</cp:coreProperties>
</file>