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91" w:rsidRPr="00B532BA" w:rsidRDefault="00AF3DFA" w:rsidP="00AF3DFA">
      <w:pPr>
        <w:spacing w:after="0"/>
        <w:jc w:val="center"/>
        <w:rPr>
          <w:rFonts w:ascii="Arial" w:hAnsi="Arial"/>
          <w:b/>
          <w:sz w:val="28"/>
          <w:szCs w:val="28"/>
        </w:rPr>
      </w:pPr>
      <w:r w:rsidRPr="00B532BA">
        <w:rPr>
          <w:rFonts w:ascii="Arial" w:hAnsi="Arial"/>
          <w:b/>
          <w:iCs/>
          <w:sz w:val="28"/>
          <w:szCs w:val="28"/>
          <w:lang w:val="en-US"/>
        </w:rPr>
        <w:t>The EU General Data Protection Regulation</w:t>
      </w:r>
      <w:r w:rsidRPr="00B532BA">
        <w:rPr>
          <w:rFonts w:ascii="Arial" w:hAnsi="Arial"/>
          <w:b/>
          <w:vanish/>
          <w:sz w:val="28"/>
          <w:szCs w:val="28"/>
          <w:lang w:val="en-US"/>
        </w:rPr>
        <w:t>opens in new window</w:t>
      </w:r>
      <w:r w:rsidRPr="00B532BA">
        <w:rPr>
          <w:rFonts w:ascii="Arial" w:hAnsi="Arial"/>
          <w:b/>
          <w:iCs/>
          <w:sz w:val="28"/>
          <w:szCs w:val="28"/>
          <w:lang w:val="en-US"/>
        </w:rPr>
        <w:t xml:space="preserve"> (GDPR): </w:t>
      </w:r>
      <w:r w:rsidRPr="00B532BA">
        <w:rPr>
          <w:rFonts w:ascii="Arial" w:hAnsi="Arial"/>
          <w:b/>
          <w:sz w:val="28"/>
          <w:szCs w:val="28"/>
        </w:rPr>
        <w:t>Guidance for Researchers</w:t>
      </w:r>
    </w:p>
    <w:p w:rsidR="00B532BA" w:rsidRDefault="00B532BA" w:rsidP="00A8566B">
      <w:pPr>
        <w:spacing w:after="0"/>
        <w:rPr>
          <w:rFonts w:ascii="Arial" w:hAnsi="Arial"/>
        </w:rPr>
      </w:pPr>
    </w:p>
    <w:p w:rsidR="00A8566B" w:rsidRPr="00A8566B" w:rsidRDefault="00B532BA" w:rsidP="00A8566B">
      <w:pPr>
        <w:spacing w:after="0"/>
        <w:rPr>
          <w:rFonts w:ascii="Arial" w:hAnsi="Arial"/>
          <w:b/>
          <w:bCs/>
          <w:lang w:val="en-US"/>
        </w:rPr>
      </w:pPr>
      <w:r>
        <w:rPr>
          <w:rFonts w:ascii="Arial" w:hAnsi="Arial"/>
        </w:rPr>
        <w:t>T</w:t>
      </w:r>
      <w:r w:rsidR="00AF3DFA" w:rsidRPr="004A5DD4">
        <w:rPr>
          <w:rFonts w:ascii="Arial" w:hAnsi="Arial"/>
        </w:rPr>
        <w:t>he Act becomes law on May 25</w:t>
      </w:r>
      <w:r w:rsidR="00AF3DFA" w:rsidRPr="004A5DD4">
        <w:rPr>
          <w:rFonts w:ascii="Arial" w:hAnsi="Arial"/>
          <w:vertAlign w:val="superscript"/>
        </w:rPr>
        <w:t>th</w:t>
      </w:r>
      <w:r w:rsidR="00AF3DFA" w:rsidRPr="004A5DD4">
        <w:rPr>
          <w:rFonts w:ascii="Arial" w:hAnsi="Arial"/>
        </w:rPr>
        <w:t xml:space="preserve"> 2018 and governs the processing or using of personal data. </w:t>
      </w:r>
      <w:r w:rsidR="00FF2203" w:rsidRPr="004A5DD4">
        <w:rPr>
          <w:rFonts w:ascii="Arial" w:hAnsi="Arial"/>
        </w:rPr>
        <w:t xml:space="preserve">Under the </w:t>
      </w:r>
      <w:r w:rsidR="00755F25" w:rsidRPr="004A5DD4">
        <w:rPr>
          <w:rFonts w:ascii="Arial" w:hAnsi="Arial"/>
          <w:lang w:val="en-US"/>
        </w:rPr>
        <w:t>law data</w:t>
      </w:r>
      <w:r w:rsidR="00FF2203" w:rsidRPr="004A5DD4">
        <w:rPr>
          <w:rFonts w:ascii="Arial" w:hAnsi="Arial"/>
          <w:lang w:val="en-US"/>
        </w:rPr>
        <w:t xml:space="preserve"> processing must be </w:t>
      </w:r>
      <w:r w:rsidR="00FF2203" w:rsidRPr="004A5DD4">
        <w:rPr>
          <w:rFonts w:ascii="Arial" w:hAnsi="Arial"/>
          <w:b/>
          <w:bCs/>
          <w:lang w:val="en-US"/>
        </w:rPr>
        <w:t>lawful</w:t>
      </w:r>
      <w:r w:rsidR="00FF2203" w:rsidRPr="004A5DD4">
        <w:rPr>
          <w:rFonts w:ascii="Arial" w:hAnsi="Arial"/>
          <w:lang w:val="en-US"/>
        </w:rPr>
        <w:t>,</w:t>
      </w:r>
      <w:r w:rsidR="00FF2203" w:rsidRPr="004A5DD4">
        <w:rPr>
          <w:rFonts w:ascii="Arial" w:hAnsi="Arial"/>
          <w:b/>
          <w:bCs/>
          <w:lang w:val="en-US"/>
        </w:rPr>
        <w:t xml:space="preserve"> fair</w:t>
      </w:r>
      <w:r w:rsidR="00FF2203" w:rsidRPr="004A5DD4">
        <w:rPr>
          <w:rFonts w:ascii="Arial" w:hAnsi="Arial"/>
          <w:lang w:val="en-US"/>
        </w:rPr>
        <w:t xml:space="preserve"> and </w:t>
      </w:r>
      <w:r w:rsidR="00FF2203" w:rsidRPr="004A5DD4">
        <w:rPr>
          <w:rFonts w:ascii="Arial" w:hAnsi="Arial"/>
          <w:b/>
          <w:bCs/>
          <w:lang w:val="en-US"/>
        </w:rPr>
        <w:t>transparent.</w:t>
      </w:r>
      <w:r w:rsidR="002872C6">
        <w:rPr>
          <w:rFonts w:ascii="Arial" w:hAnsi="Arial"/>
          <w:b/>
          <w:bCs/>
          <w:lang w:val="en-US"/>
        </w:rPr>
        <w:t xml:space="preserve"> </w:t>
      </w:r>
      <w:r w:rsidR="00A8566B" w:rsidRPr="00A8566B">
        <w:rPr>
          <w:rFonts w:ascii="Arial" w:hAnsi="Arial"/>
          <w:bCs/>
          <w:lang w:val="en-US"/>
        </w:rPr>
        <w:t>To ensure fairness,</w:t>
      </w:r>
      <w:r w:rsidR="00A8566B" w:rsidRPr="00A8566B">
        <w:rPr>
          <w:rFonts w:ascii="Arial" w:hAnsi="Arial"/>
          <w:b/>
          <w:bCs/>
          <w:lang w:val="en-US"/>
        </w:rPr>
        <w:t xml:space="preserve"> </w:t>
      </w:r>
      <w:r w:rsidR="00A8566B" w:rsidRPr="00A8566B">
        <w:rPr>
          <w:rFonts w:ascii="Arial" w:hAnsi="Arial"/>
          <w:bCs/>
          <w:lang w:val="en-US"/>
        </w:rPr>
        <w:t>research participants</w:t>
      </w:r>
      <w:r w:rsidR="00A8566B">
        <w:rPr>
          <w:rFonts w:ascii="Arial" w:hAnsi="Arial"/>
          <w:bCs/>
          <w:lang w:val="en-US"/>
        </w:rPr>
        <w:t>' rights must be protected</w:t>
      </w:r>
      <w:r w:rsidR="00E80179">
        <w:rPr>
          <w:rFonts w:ascii="Arial" w:hAnsi="Arial"/>
          <w:bCs/>
          <w:lang w:val="en-US"/>
        </w:rPr>
        <w:t>. Th</w:t>
      </w:r>
      <w:r w:rsidR="00A8566B">
        <w:rPr>
          <w:rFonts w:ascii="Arial" w:hAnsi="Arial"/>
          <w:bCs/>
          <w:lang w:val="en-US"/>
        </w:rPr>
        <w:t xml:space="preserve">is involves ensuring that any data they provide is used in line with the information they have been given about a particular study. In this way transparency about how their data is used is linked to meeting the fairness criterion. </w:t>
      </w:r>
    </w:p>
    <w:p w:rsidR="00E80179" w:rsidRDefault="00E80179" w:rsidP="00AF3DFA">
      <w:pPr>
        <w:spacing w:after="0"/>
        <w:rPr>
          <w:rFonts w:ascii="Arial" w:hAnsi="Arial"/>
        </w:rPr>
      </w:pPr>
    </w:p>
    <w:p w:rsidR="00755F25" w:rsidRPr="004A5DD4" w:rsidRDefault="00755F25" w:rsidP="00AF3DFA">
      <w:pPr>
        <w:spacing w:after="0"/>
        <w:rPr>
          <w:rFonts w:ascii="Arial" w:hAnsi="Arial"/>
        </w:rPr>
      </w:pPr>
      <w:r w:rsidRPr="004A5DD4">
        <w:rPr>
          <w:rFonts w:ascii="Arial" w:hAnsi="Arial"/>
        </w:rPr>
        <w:t xml:space="preserve">Under the Act researchers may either be </w:t>
      </w:r>
    </w:p>
    <w:p w:rsidR="00755F25" w:rsidRPr="004A5DD4" w:rsidRDefault="00755F25" w:rsidP="00AF3DFA">
      <w:pPr>
        <w:spacing w:after="0"/>
        <w:rPr>
          <w:rFonts w:ascii="Arial" w:hAnsi="Arial"/>
          <w:lang w:val="en"/>
        </w:rPr>
      </w:pPr>
      <w:r w:rsidRPr="004A5DD4">
        <w:rPr>
          <w:rFonts w:ascii="Arial" w:hAnsi="Arial"/>
        </w:rPr>
        <w:t xml:space="preserve">1. </w:t>
      </w:r>
      <w:r w:rsidRPr="004A5DD4">
        <w:rPr>
          <w:rFonts w:ascii="Arial" w:hAnsi="Arial"/>
          <w:b/>
        </w:rPr>
        <w:t>a</w:t>
      </w:r>
      <w:r w:rsidRPr="004A5DD4">
        <w:rPr>
          <w:rFonts w:ascii="Arial" w:hAnsi="Arial"/>
        </w:rPr>
        <w:t xml:space="preserve"> </w:t>
      </w:r>
      <w:r w:rsidRPr="004A5DD4">
        <w:rPr>
          <w:rFonts w:ascii="Arial" w:hAnsi="Arial"/>
          <w:b/>
        </w:rPr>
        <w:t xml:space="preserve">data controller: </w:t>
      </w:r>
      <w:r w:rsidRPr="004A5DD4">
        <w:rPr>
          <w:rFonts w:ascii="Arial" w:hAnsi="Arial"/>
          <w:color w:val="000000"/>
          <w:lang w:val="en"/>
        </w:rPr>
        <w:t>"</w:t>
      </w:r>
      <w:r w:rsidRPr="004A5DD4">
        <w:rPr>
          <w:rFonts w:ascii="Arial" w:hAnsi="Arial"/>
          <w:lang w:val="en"/>
        </w:rPr>
        <w:t>determines the purposes and means of processing personal data."</w:t>
      </w:r>
    </w:p>
    <w:p w:rsidR="00755F25" w:rsidRPr="004A5DD4" w:rsidRDefault="00755F25" w:rsidP="00755F25">
      <w:pPr>
        <w:spacing w:after="0"/>
        <w:jc w:val="center"/>
        <w:rPr>
          <w:rFonts w:ascii="Arial" w:hAnsi="Arial"/>
        </w:rPr>
      </w:pPr>
      <w:r w:rsidRPr="004A5DD4">
        <w:rPr>
          <w:rFonts w:ascii="Arial" w:hAnsi="Arial"/>
        </w:rPr>
        <w:t>or</w:t>
      </w:r>
    </w:p>
    <w:p w:rsidR="00755F25" w:rsidRPr="004A5DD4" w:rsidRDefault="00755F25" w:rsidP="00AF3DFA">
      <w:pPr>
        <w:spacing w:after="0"/>
        <w:rPr>
          <w:rFonts w:ascii="Arial" w:hAnsi="Arial"/>
          <w:lang w:val="en"/>
        </w:rPr>
      </w:pPr>
      <w:r w:rsidRPr="004A5DD4">
        <w:rPr>
          <w:rFonts w:ascii="Arial" w:hAnsi="Arial"/>
          <w:b/>
        </w:rPr>
        <w:t xml:space="preserve"> 2. a data </w:t>
      </w:r>
      <w:r w:rsidRPr="004A5DD4">
        <w:rPr>
          <w:rFonts w:ascii="Arial" w:hAnsi="Arial"/>
          <w:b/>
          <w:lang w:val="en"/>
        </w:rPr>
        <w:t>processor</w:t>
      </w:r>
      <w:r w:rsidR="000C069E" w:rsidRPr="004A5DD4">
        <w:rPr>
          <w:rFonts w:ascii="Arial" w:hAnsi="Arial"/>
          <w:b/>
          <w:lang w:val="en"/>
        </w:rPr>
        <w:t xml:space="preserve">: </w:t>
      </w:r>
      <w:r w:rsidR="000C069E" w:rsidRPr="004A5DD4">
        <w:rPr>
          <w:rFonts w:ascii="Arial" w:hAnsi="Arial"/>
          <w:lang w:val="en"/>
        </w:rPr>
        <w:t>"r</w:t>
      </w:r>
      <w:r w:rsidRPr="004A5DD4">
        <w:rPr>
          <w:rFonts w:ascii="Arial" w:hAnsi="Arial"/>
          <w:lang w:val="en"/>
        </w:rPr>
        <w:t>esponsible for processing personal data on behalf of a controller</w:t>
      </w:r>
      <w:r w:rsidR="000C069E" w:rsidRPr="004A5DD4">
        <w:rPr>
          <w:rFonts w:ascii="Arial" w:hAnsi="Arial"/>
          <w:lang w:val="en"/>
        </w:rPr>
        <w:t>."</w:t>
      </w:r>
    </w:p>
    <w:p w:rsidR="000C069E" w:rsidRDefault="000C069E" w:rsidP="00AF3DFA">
      <w:pPr>
        <w:spacing w:after="0"/>
        <w:rPr>
          <w:rFonts w:ascii="Arial" w:hAnsi="Arial"/>
          <w:lang w:val="en"/>
        </w:rPr>
      </w:pPr>
      <w:r w:rsidRPr="004A5DD4">
        <w:rPr>
          <w:rFonts w:ascii="Arial" w:hAnsi="Arial"/>
          <w:lang w:val="en"/>
        </w:rPr>
        <w:t>An important distinction as processors are legally liable if data breaches occur and are required to maintain records of detailing how personal data is processed.</w:t>
      </w:r>
    </w:p>
    <w:p w:rsidR="00CD039E" w:rsidRPr="004A5DD4" w:rsidRDefault="00CD039E" w:rsidP="00AF3DFA">
      <w:pPr>
        <w:spacing w:after="0"/>
        <w:rPr>
          <w:rFonts w:ascii="Arial" w:hAnsi="Arial"/>
          <w:lang w:val="en"/>
        </w:rPr>
      </w:pPr>
    </w:p>
    <w:p w:rsidR="00BD43CF" w:rsidRPr="00B532BA" w:rsidRDefault="00CD039E" w:rsidP="00BD43CF">
      <w:pPr>
        <w:spacing w:after="0"/>
        <w:rPr>
          <w:rFonts w:ascii="Arial" w:hAnsi="Arial"/>
          <w:lang w:val="en"/>
        </w:rPr>
      </w:pPr>
      <w:r w:rsidRPr="00B532BA">
        <w:rPr>
          <w:rFonts w:ascii="Arial" w:hAnsi="Arial"/>
          <w:lang w:val="en"/>
        </w:rPr>
        <w:t>Researchers are likely to fulfill both data controller and data processor roles at different stages of a research process.</w:t>
      </w:r>
      <w:r w:rsidR="00BD43CF" w:rsidRPr="00B532BA">
        <w:rPr>
          <w:rFonts w:ascii="Arial" w:hAnsi="Arial"/>
          <w:lang w:val="en"/>
        </w:rPr>
        <w:t xml:space="preserve"> For example, a funder poses a research question/topic</w:t>
      </w:r>
      <w:r w:rsidR="00B532BA">
        <w:rPr>
          <w:rFonts w:ascii="Arial" w:hAnsi="Arial"/>
          <w:lang w:val="en"/>
        </w:rPr>
        <w:t xml:space="preserve"> </w:t>
      </w:r>
      <w:r w:rsidR="00BD43CF" w:rsidRPr="00B532BA">
        <w:rPr>
          <w:rFonts w:ascii="Arial" w:hAnsi="Arial"/>
          <w:lang w:val="en"/>
        </w:rPr>
        <w:t>are</w:t>
      </w:r>
      <w:r w:rsidR="00B532BA">
        <w:rPr>
          <w:rFonts w:ascii="Arial" w:hAnsi="Arial"/>
          <w:lang w:val="en"/>
        </w:rPr>
        <w:t>a</w:t>
      </w:r>
      <w:r w:rsidR="00BD43CF" w:rsidRPr="00B532BA">
        <w:rPr>
          <w:rFonts w:ascii="Arial" w:hAnsi="Arial"/>
          <w:lang w:val="en"/>
        </w:rPr>
        <w:t xml:space="preserve"> and</w:t>
      </w:r>
      <w:r w:rsidR="00B532BA">
        <w:rPr>
          <w:rFonts w:ascii="Arial" w:hAnsi="Arial"/>
          <w:lang w:val="en"/>
        </w:rPr>
        <w:t xml:space="preserve"> provides</w:t>
      </w:r>
      <w:r w:rsidR="00BD43CF" w:rsidRPr="00B532BA">
        <w:rPr>
          <w:rFonts w:ascii="Arial" w:hAnsi="Arial"/>
          <w:lang w:val="en"/>
        </w:rPr>
        <w:t xml:space="preserve"> a budget for the study and a university research team</w:t>
      </w:r>
      <w:r w:rsidR="00B532BA">
        <w:rPr>
          <w:rFonts w:ascii="Arial" w:hAnsi="Arial"/>
          <w:lang w:val="en"/>
        </w:rPr>
        <w:t xml:space="preserve"> is contracted</w:t>
      </w:r>
      <w:r w:rsidR="00BD43CF" w:rsidRPr="00B532BA">
        <w:rPr>
          <w:rFonts w:ascii="Arial" w:hAnsi="Arial"/>
          <w:lang w:val="en"/>
        </w:rPr>
        <w:t xml:space="preserve"> to address the question. The</w:t>
      </w:r>
      <w:r w:rsidR="00B532BA">
        <w:rPr>
          <w:rFonts w:ascii="Arial" w:hAnsi="Arial"/>
          <w:lang w:val="en"/>
        </w:rPr>
        <w:t xml:space="preserve"> funder is</w:t>
      </w:r>
      <w:r w:rsidR="00BD43CF" w:rsidRPr="00B532BA">
        <w:rPr>
          <w:rFonts w:ascii="Arial" w:hAnsi="Arial"/>
          <w:lang w:val="en"/>
        </w:rPr>
        <w:t xml:space="preserve"> asking the research team to process data on the funder's behalf</w:t>
      </w:r>
      <w:r w:rsidR="00BE4A01" w:rsidRPr="00B532BA">
        <w:rPr>
          <w:rFonts w:ascii="Arial" w:hAnsi="Arial"/>
          <w:lang w:val="en"/>
        </w:rPr>
        <w:t xml:space="preserve">. </w:t>
      </w:r>
      <w:r w:rsidR="00BD43CF" w:rsidRPr="00B532BA">
        <w:rPr>
          <w:rFonts w:ascii="Arial" w:hAnsi="Arial"/>
          <w:lang w:val="en"/>
        </w:rPr>
        <w:t>The university team however, decides on what to collect, how to do it, how to</w:t>
      </w:r>
      <w:r w:rsidR="00BD43CF" w:rsidRPr="00BE4A01">
        <w:rPr>
          <w:rFonts w:ascii="Arial" w:hAnsi="Arial"/>
        </w:rPr>
        <w:t xml:space="preserve"> analyse</w:t>
      </w:r>
      <w:r w:rsidR="00BD43CF" w:rsidRPr="00B532BA">
        <w:rPr>
          <w:rFonts w:ascii="Arial" w:hAnsi="Arial"/>
          <w:lang w:val="en"/>
        </w:rPr>
        <w:t xml:space="preserve"> and how to present the data. This makes the University team Data Controllers in their own right even although the funder retains overall control of the data as they commissioned it and can determine how they ultimately use the final data report.  </w:t>
      </w:r>
    </w:p>
    <w:p w:rsidR="00CD039E" w:rsidRPr="00B532BA" w:rsidRDefault="00CD039E" w:rsidP="00AF3DFA">
      <w:pPr>
        <w:spacing w:after="0"/>
        <w:rPr>
          <w:rFonts w:ascii="Arial" w:hAnsi="Arial"/>
        </w:rPr>
      </w:pPr>
      <w:r w:rsidRPr="00B532BA">
        <w:rPr>
          <w:rFonts w:ascii="Arial" w:hAnsi="Arial"/>
          <w:lang w:val="en"/>
        </w:rPr>
        <w:t xml:space="preserve"> </w:t>
      </w:r>
      <w:r w:rsidR="004A5DD4" w:rsidRPr="00B532BA">
        <w:rPr>
          <w:rFonts w:ascii="Arial" w:hAnsi="Arial"/>
          <w:lang w:val="en"/>
        </w:rPr>
        <w:t>This m</w:t>
      </w:r>
      <w:r w:rsidRPr="00B532BA">
        <w:rPr>
          <w:rFonts w:ascii="Arial" w:hAnsi="Arial"/>
          <w:lang w:val="en"/>
        </w:rPr>
        <w:t xml:space="preserve">ay not always be the case in contract research and </w:t>
      </w:r>
      <w:r w:rsidR="004A5DD4" w:rsidRPr="00B532BA">
        <w:rPr>
          <w:rFonts w:ascii="Arial" w:hAnsi="Arial"/>
          <w:lang w:val="en"/>
        </w:rPr>
        <w:t xml:space="preserve">role </w:t>
      </w:r>
      <w:r w:rsidRPr="00B532BA">
        <w:rPr>
          <w:rFonts w:ascii="Arial" w:hAnsi="Arial"/>
          <w:lang w:val="en"/>
        </w:rPr>
        <w:t xml:space="preserve">clarification may be necessary. </w:t>
      </w:r>
      <w:r w:rsidR="00E80179" w:rsidRPr="00B532BA">
        <w:rPr>
          <w:rFonts w:ascii="Arial" w:hAnsi="Arial"/>
          <w:lang w:val="en"/>
        </w:rPr>
        <w:t>Advice is available fr</w:t>
      </w:r>
      <w:r w:rsidR="00B532BA">
        <w:rPr>
          <w:rFonts w:ascii="Arial" w:hAnsi="Arial"/>
          <w:lang w:val="en"/>
        </w:rPr>
        <w:t>om</w:t>
      </w:r>
      <w:r w:rsidR="00E80179" w:rsidRPr="00B532BA">
        <w:rPr>
          <w:rFonts w:ascii="Arial" w:hAnsi="Arial"/>
          <w:lang w:val="en"/>
        </w:rPr>
        <w:t xml:space="preserve"> the Data Protection Officer. </w:t>
      </w:r>
      <w:r w:rsidRPr="00B532BA">
        <w:rPr>
          <w:rFonts w:ascii="Arial" w:hAnsi="Arial"/>
          <w:lang w:val="en"/>
        </w:rPr>
        <w:t xml:space="preserve"> </w:t>
      </w:r>
    </w:p>
    <w:p w:rsidR="00755F25" w:rsidRPr="00B532BA" w:rsidRDefault="00755F25" w:rsidP="00AF3DFA">
      <w:pPr>
        <w:spacing w:after="0"/>
        <w:rPr>
          <w:rFonts w:ascii="Arial" w:hAnsi="Arial"/>
          <w:b/>
        </w:rPr>
      </w:pPr>
    </w:p>
    <w:p w:rsidR="00755F25" w:rsidRPr="004A5DD4" w:rsidRDefault="00CD039E" w:rsidP="00AF3DFA">
      <w:pPr>
        <w:spacing w:after="0"/>
        <w:rPr>
          <w:rFonts w:ascii="Arial" w:hAnsi="Arial"/>
          <w:b/>
        </w:rPr>
      </w:pPr>
      <w:r w:rsidRPr="004A5DD4">
        <w:rPr>
          <w:rFonts w:ascii="Arial" w:hAnsi="Arial"/>
          <w:b/>
        </w:rPr>
        <w:t xml:space="preserve">The Act applies to: </w:t>
      </w:r>
    </w:p>
    <w:p w:rsidR="00AF3DFA" w:rsidRPr="004A5DD4" w:rsidRDefault="00CD039E" w:rsidP="00AF3DFA">
      <w:pPr>
        <w:spacing w:after="0"/>
        <w:rPr>
          <w:rFonts w:ascii="Arial" w:hAnsi="Arial"/>
          <w:lang w:val="en"/>
        </w:rPr>
      </w:pPr>
      <w:r w:rsidRPr="004A5DD4">
        <w:rPr>
          <w:rFonts w:ascii="Arial" w:hAnsi="Arial"/>
          <w:b/>
        </w:rPr>
        <w:t xml:space="preserve">1. </w:t>
      </w:r>
      <w:r w:rsidR="00AF3DFA" w:rsidRPr="004A5DD4">
        <w:rPr>
          <w:rFonts w:ascii="Arial" w:hAnsi="Arial"/>
          <w:b/>
        </w:rPr>
        <w:t xml:space="preserve">Personal data </w:t>
      </w:r>
      <w:r w:rsidR="00AF3DFA" w:rsidRPr="004A5DD4">
        <w:rPr>
          <w:rFonts w:ascii="Arial" w:hAnsi="Arial"/>
        </w:rPr>
        <w:t>is defined</w:t>
      </w:r>
      <w:r w:rsidR="00FF2203" w:rsidRPr="004A5DD4">
        <w:rPr>
          <w:rFonts w:ascii="Arial" w:hAnsi="Arial"/>
        </w:rPr>
        <w:t xml:space="preserve"> by the I</w:t>
      </w:r>
      <w:r w:rsidR="004A5DD4">
        <w:rPr>
          <w:rFonts w:ascii="Arial" w:hAnsi="Arial"/>
        </w:rPr>
        <w:t>nformation Commissioner's Office (I</w:t>
      </w:r>
      <w:r w:rsidR="00FF2203" w:rsidRPr="004A5DD4">
        <w:rPr>
          <w:rFonts w:ascii="Arial" w:hAnsi="Arial"/>
        </w:rPr>
        <w:t>CO</w:t>
      </w:r>
      <w:r w:rsidR="004A5DD4">
        <w:rPr>
          <w:rFonts w:ascii="Arial" w:hAnsi="Arial"/>
        </w:rPr>
        <w:t>)</w:t>
      </w:r>
      <w:r w:rsidR="00FF2203" w:rsidRPr="004A5DD4">
        <w:rPr>
          <w:rFonts w:ascii="Arial" w:hAnsi="Arial"/>
        </w:rPr>
        <w:t xml:space="preserve"> </w:t>
      </w:r>
      <w:r w:rsidR="00AF3DFA" w:rsidRPr="004A5DD4">
        <w:rPr>
          <w:rFonts w:ascii="Arial" w:hAnsi="Arial"/>
        </w:rPr>
        <w:t>as</w:t>
      </w:r>
      <w:r w:rsidR="00FF2203" w:rsidRPr="004A5DD4">
        <w:rPr>
          <w:rFonts w:ascii="Arial" w:hAnsi="Arial"/>
          <w:lang w:val="en"/>
        </w:rPr>
        <w:t xml:space="preserve">, </w:t>
      </w:r>
      <w:r w:rsidRPr="004A5DD4">
        <w:rPr>
          <w:rFonts w:ascii="Arial" w:hAnsi="Arial"/>
          <w:lang w:val="en"/>
        </w:rPr>
        <w:t>"any information relating to an identifiable person who can be directly or indirectly identified in particular by reference to an identifier.</w:t>
      </w:r>
      <w:r w:rsidR="004A5DD4">
        <w:rPr>
          <w:rFonts w:ascii="Arial" w:hAnsi="Arial"/>
          <w:lang w:val="en"/>
        </w:rPr>
        <w:t>"</w:t>
      </w:r>
      <w:r w:rsidRPr="004A5DD4">
        <w:rPr>
          <w:rFonts w:ascii="Arial" w:hAnsi="Arial"/>
          <w:lang w:val="en"/>
        </w:rPr>
        <w:t xml:space="preserve"> Identifiers may </w:t>
      </w:r>
      <w:r w:rsidRPr="004A5DD4">
        <w:rPr>
          <w:rFonts w:ascii="Arial" w:hAnsi="Arial"/>
          <w:color w:val="000000"/>
          <w:lang w:val="en"/>
        </w:rPr>
        <w:t>name, identification number, location data or online identifier</w:t>
      </w:r>
      <w:r w:rsidR="004A5DD4">
        <w:rPr>
          <w:rFonts w:ascii="Arial" w:hAnsi="Arial"/>
          <w:color w:val="000000"/>
          <w:lang w:val="en"/>
        </w:rPr>
        <w:t>,</w:t>
      </w:r>
      <w:r w:rsidRPr="004A5DD4">
        <w:rPr>
          <w:rFonts w:ascii="Arial" w:hAnsi="Arial"/>
          <w:color w:val="000000"/>
          <w:lang w:val="en"/>
        </w:rPr>
        <w:t xml:space="preserve"> etc.</w:t>
      </w:r>
    </w:p>
    <w:p w:rsidR="00CD039E" w:rsidRPr="004A5DD4" w:rsidRDefault="00CD039E" w:rsidP="00AF3DFA">
      <w:pPr>
        <w:spacing w:after="0"/>
        <w:rPr>
          <w:rFonts w:ascii="Arial" w:hAnsi="Arial"/>
          <w:b/>
          <w:lang w:val="en"/>
        </w:rPr>
      </w:pPr>
    </w:p>
    <w:p w:rsidR="0028730D" w:rsidRDefault="00CD039E" w:rsidP="0028730D">
      <w:pPr>
        <w:spacing w:after="0"/>
        <w:rPr>
          <w:rFonts w:ascii="Arial" w:hAnsi="Arial"/>
          <w:bCs/>
          <w:color w:val="000000"/>
          <w:lang w:val="en"/>
        </w:rPr>
      </w:pPr>
      <w:r w:rsidRPr="004A5DD4">
        <w:rPr>
          <w:rFonts w:ascii="Arial" w:hAnsi="Arial"/>
          <w:b/>
          <w:lang w:val="en"/>
        </w:rPr>
        <w:t>2.</w:t>
      </w:r>
      <w:r w:rsidRPr="004A5DD4">
        <w:rPr>
          <w:rFonts w:ascii="Arial" w:hAnsi="Arial"/>
          <w:b/>
          <w:bCs/>
          <w:color w:val="000000"/>
          <w:lang w:val="en"/>
        </w:rPr>
        <w:t xml:space="preserve"> </w:t>
      </w:r>
      <w:r w:rsidR="004A5DD4">
        <w:rPr>
          <w:rFonts w:ascii="Arial" w:hAnsi="Arial"/>
          <w:b/>
          <w:bCs/>
          <w:color w:val="000000"/>
          <w:lang w:val="en"/>
        </w:rPr>
        <w:t>S</w:t>
      </w:r>
      <w:r w:rsidR="004A5DD4" w:rsidRPr="004A5DD4">
        <w:rPr>
          <w:rFonts w:ascii="Arial" w:hAnsi="Arial"/>
          <w:b/>
          <w:bCs/>
          <w:color w:val="000000"/>
          <w:lang w:val="en"/>
        </w:rPr>
        <w:t>pecial categories of personal data”</w:t>
      </w:r>
      <w:r w:rsidR="004A5DD4">
        <w:rPr>
          <w:rFonts w:ascii="Arial" w:hAnsi="Arial"/>
          <w:b/>
          <w:bCs/>
          <w:color w:val="000000"/>
          <w:lang w:val="en"/>
        </w:rPr>
        <w:t xml:space="preserve"> </w:t>
      </w:r>
      <w:r w:rsidR="004A5DD4" w:rsidRPr="004A5DD4">
        <w:rPr>
          <w:rFonts w:ascii="Arial" w:hAnsi="Arial"/>
          <w:bCs/>
          <w:color w:val="000000"/>
          <w:lang w:val="en"/>
        </w:rPr>
        <w:t>under Article 9</w:t>
      </w:r>
      <w:r w:rsidR="00BE4A01" w:rsidRPr="004A5DD4">
        <w:rPr>
          <w:rFonts w:ascii="Arial" w:hAnsi="Arial"/>
          <w:b/>
          <w:bCs/>
          <w:color w:val="000000"/>
          <w:lang w:val="en"/>
        </w:rPr>
        <w:t xml:space="preserve">. </w:t>
      </w:r>
      <w:r w:rsidR="004A5DD4" w:rsidRPr="004A5DD4">
        <w:rPr>
          <w:rFonts w:ascii="Arial" w:hAnsi="Arial"/>
          <w:bCs/>
          <w:color w:val="000000"/>
          <w:lang w:val="en"/>
        </w:rPr>
        <w:t xml:space="preserve">As it is sensitive personal data extra </w:t>
      </w:r>
      <w:r w:rsidR="0028730D">
        <w:rPr>
          <w:rFonts w:ascii="Arial" w:hAnsi="Arial"/>
          <w:bCs/>
          <w:color w:val="000000"/>
          <w:lang w:val="en"/>
        </w:rPr>
        <w:t xml:space="preserve">protective </w:t>
      </w:r>
      <w:r w:rsidR="004A5DD4" w:rsidRPr="004A5DD4">
        <w:rPr>
          <w:rFonts w:ascii="Arial" w:hAnsi="Arial"/>
          <w:bCs/>
          <w:color w:val="000000"/>
          <w:lang w:val="en"/>
        </w:rPr>
        <w:t>safeguards have to be in</w:t>
      </w:r>
      <w:r w:rsidR="004A5DD4">
        <w:rPr>
          <w:rFonts w:ascii="Arial" w:hAnsi="Arial"/>
          <w:bCs/>
          <w:color w:val="000000"/>
          <w:lang w:val="en"/>
        </w:rPr>
        <w:t xml:space="preserve"> </w:t>
      </w:r>
      <w:r w:rsidR="004A5DD4" w:rsidRPr="004A5DD4">
        <w:rPr>
          <w:rFonts w:ascii="Arial" w:hAnsi="Arial"/>
          <w:bCs/>
          <w:color w:val="000000"/>
          <w:lang w:val="en"/>
        </w:rPr>
        <w:t>place</w:t>
      </w:r>
      <w:r w:rsidR="0028730D">
        <w:rPr>
          <w:rFonts w:ascii="Arial" w:hAnsi="Arial"/>
          <w:bCs/>
          <w:color w:val="000000"/>
          <w:lang w:val="en"/>
        </w:rPr>
        <w:t xml:space="preserve">. The ICO specifies the following as special category data under the Act: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437"/>
      </w:tblGrid>
      <w:tr w:rsidR="0028730D" w:rsidTr="0028730D">
        <w:tc>
          <w:tcPr>
            <w:tcW w:w="4445" w:type="dxa"/>
          </w:tcPr>
          <w:p w:rsidR="0028730D" w:rsidRDefault="0028730D" w:rsidP="0028730D">
            <w:pPr>
              <w:spacing w:after="0"/>
              <w:rPr>
                <w:rFonts w:ascii="Arial" w:hAnsi="Arial"/>
                <w:bCs/>
                <w:color w:val="000000"/>
                <w:lang w:val="en"/>
              </w:rPr>
            </w:pPr>
            <w:r>
              <w:rPr>
                <w:rFonts w:ascii="Arial" w:hAnsi="Arial"/>
                <w:bCs/>
                <w:color w:val="000000"/>
                <w:lang w:val="en"/>
              </w:rPr>
              <w:t>Race</w:t>
            </w:r>
          </w:p>
        </w:tc>
        <w:tc>
          <w:tcPr>
            <w:tcW w:w="4437" w:type="dxa"/>
          </w:tcPr>
          <w:p w:rsidR="0028730D" w:rsidRDefault="0028730D" w:rsidP="0028730D">
            <w:pPr>
              <w:spacing w:after="0"/>
              <w:rPr>
                <w:rFonts w:ascii="Arial" w:hAnsi="Arial"/>
                <w:bCs/>
                <w:color w:val="000000"/>
                <w:lang w:val="en"/>
              </w:rPr>
            </w:pPr>
            <w:r>
              <w:rPr>
                <w:rFonts w:ascii="Arial" w:hAnsi="Arial"/>
                <w:bCs/>
                <w:color w:val="000000"/>
                <w:lang w:val="en"/>
              </w:rPr>
              <w:t>Ethnic origin</w:t>
            </w:r>
          </w:p>
        </w:tc>
      </w:tr>
      <w:tr w:rsidR="0028730D" w:rsidTr="0028730D">
        <w:tc>
          <w:tcPr>
            <w:tcW w:w="4445" w:type="dxa"/>
          </w:tcPr>
          <w:p w:rsidR="0028730D" w:rsidRDefault="0028730D" w:rsidP="0028730D">
            <w:pPr>
              <w:spacing w:after="0"/>
              <w:rPr>
                <w:rFonts w:ascii="Arial" w:hAnsi="Arial"/>
                <w:bCs/>
                <w:color w:val="000000"/>
                <w:lang w:val="en"/>
              </w:rPr>
            </w:pPr>
            <w:r>
              <w:rPr>
                <w:rFonts w:ascii="Arial" w:hAnsi="Arial"/>
                <w:bCs/>
                <w:color w:val="000000"/>
                <w:lang w:val="en"/>
              </w:rPr>
              <w:t>Politics</w:t>
            </w:r>
          </w:p>
        </w:tc>
        <w:tc>
          <w:tcPr>
            <w:tcW w:w="4437" w:type="dxa"/>
          </w:tcPr>
          <w:p w:rsidR="0028730D" w:rsidRDefault="0028730D" w:rsidP="0028730D">
            <w:pPr>
              <w:spacing w:after="0"/>
              <w:rPr>
                <w:rFonts w:ascii="Arial" w:hAnsi="Arial"/>
                <w:bCs/>
                <w:color w:val="000000"/>
                <w:lang w:val="en"/>
              </w:rPr>
            </w:pPr>
            <w:r>
              <w:rPr>
                <w:rFonts w:ascii="Arial" w:hAnsi="Arial"/>
                <w:bCs/>
                <w:color w:val="000000"/>
                <w:lang w:val="en"/>
              </w:rPr>
              <w:t>Religion</w:t>
            </w:r>
          </w:p>
        </w:tc>
      </w:tr>
      <w:tr w:rsidR="0028730D" w:rsidTr="0028730D">
        <w:tc>
          <w:tcPr>
            <w:tcW w:w="4445" w:type="dxa"/>
          </w:tcPr>
          <w:p w:rsidR="0028730D" w:rsidRDefault="0028730D" w:rsidP="0028730D">
            <w:pPr>
              <w:spacing w:after="0"/>
              <w:rPr>
                <w:rFonts w:ascii="Arial" w:hAnsi="Arial"/>
                <w:bCs/>
                <w:color w:val="000000"/>
                <w:lang w:val="en"/>
              </w:rPr>
            </w:pPr>
            <w:r>
              <w:rPr>
                <w:rFonts w:ascii="Arial" w:hAnsi="Arial"/>
                <w:bCs/>
                <w:color w:val="000000"/>
                <w:lang w:val="en"/>
              </w:rPr>
              <w:t>Trade union membership</w:t>
            </w:r>
          </w:p>
        </w:tc>
        <w:tc>
          <w:tcPr>
            <w:tcW w:w="4437" w:type="dxa"/>
          </w:tcPr>
          <w:p w:rsidR="0028730D" w:rsidRDefault="0028730D" w:rsidP="0028730D">
            <w:pPr>
              <w:spacing w:after="0"/>
              <w:rPr>
                <w:rFonts w:ascii="Arial" w:hAnsi="Arial"/>
                <w:bCs/>
                <w:color w:val="000000"/>
                <w:lang w:val="en"/>
              </w:rPr>
            </w:pPr>
            <w:r>
              <w:rPr>
                <w:rFonts w:ascii="Arial" w:hAnsi="Arial"/>
                <w:bCs/>
                <w:color w:val="000000"/>
                <w:lang w:val="en"/>
              </w:rPr>
              <w:t>Genetics</w:t>
            </w:r>
          </w:p>
        </w:tc>
      </w:tr>
      <w:tr w:rsidR="0028730D" w:rsidTr="0028730D">
        <w:tc>
          <w:tcPr>
            <w:tcW w:w="4445" w:type="dxa"/>
          </w:tcPr>
          <w:p w:rsidR="0028730D" w:rsidRDefault="0028730D" w:rsidP="0028730D">
            <w:pPr>
              <w:spacing w:after="0"/>
              <w:rPr>
                <w:rFonts w:ascii="Arial" w:hAnsi="Arial"/>
                <w:bCs/>
                <w:color w:val="000000"/>
                <w:lang w:val="en"/>
              </w:rPr>
            </w:pPr>
            <w:r>
              <w:rPr>
                <w:rFonts w:ascii="Arial" w:hAnsi="Arial"/>
                <w:bCs/>
                <w:color w:val="000000"/>
                <w:lang w:val="en"/>
              </w:rPr>
              <w:t>Biometrics ( where used for ID purposes)</w:t>
            </w:r>
          </w:p>
        </w:tc>
        <w:tc>
          <w:tcPr>
            <w:tcW w:w="4437" w:type="dxa"/>
          </w:tcPr>
          <w:p w:rsidR="0028730D" w:rsidRDefault="00360C2C" w:rsidP="0028730D">
            <w:pPr>
              <w:spacing w:after="0"/>
              <w:rPr>
                <w:rFonts w:ascii="Arial" w:hAnsi="Arial"/>
                <w:bCs/>
                <w:color w:val="000000"/>
                <w:lang w:val="en"/>
              </w:rPr>
            </w:pPr>
            <w:r>
              <w:rPr>
                <w:rFonts w:ascii="Arial" w:hAnsi="Arial"/>
                <w:bCs/>
                <w:color w:val="000000"/>
                <w:lang w:val="en"/>
              </w:rPr>
              <w:t>H</w:t>
            </w:r>
            <w:r w:rsidR="0028730D">
              <w:rPr>
                <w:rFonts w:ascii="Arial" w:hAnsi="Arial"/>
                <w:bCs/>
                <w:color w:val="000000"/>
                <w:lang w:val="en"/>
              </w:rPr>
              <w:t>ealth</w:t>
            </w:r>
          </w:p>
        </w:tc>
      </w:tr>
      <w:tr w:rsidR="0028730D" w:rsidTr="0028730D">
        <w:tc>
          <w:tcPr>
            <w:tcW w:w="4445" w:type="dxa"/>
          </w:tcPr>
          <w:p w:rsidR="0028730D" w:rsidRDefault="00B532BA" w:rsidP="00B532BA">
            <w:pPr>
              <w:spacing w:after="0"/>
              <w:rPr>
                <w:rFonts w:ascii="Arial" w:hAnsi="Arial"/>
                <w:bCs/>
                <w:color w:val="000000"/>
                <w:lang w:val="en"/>
              </w:rPr>
            </w:pPr>
            <w:r>
              <w:rPr>
                <w:rFonts w:ascii="Arial" w:hAnsi="Arial"/>
                <w:bCs/>
                <w:color w:val="000000"/>
                <w:lang w:val="en"/>
              </w:rPr>
              <w:t>Sexual orientation</w:t>
            </w:r>
          </w:p>
        </w:tc>
        <w:tc>
          <w:tcPr>
            <w:tcW w:w="4437" w:type="dxa"/>
          </w:tcPr>
          <w:p w:rsidR="0028730D" w:rsidRDefault="00B532BA" w:rsidP="00B532BA">
            <w:pPr>
              <w:spacing w:after="0"/>
              <w:rPr>
                <w:rFonts w:ascii="Arial" w:hAnsi="Arial"/>
                <w:bCs/>
                <w:color w:val="000000"/>
                <w:lang w:val="en"/>
              </w:rPr>
            </w:pPr>
            <w:r>
              <w:rPr>
                <w:rFonts w:ascii="Arial" w:hAnsi="Arial"/>
                <w:bCs/>
                <w:color w:val="000000"/>
                <w:lang w:val="en"/>
              </w:rPr>
              <w:t>Sex life</w:t>
            </w:r>
          </w:p>
        </w:tc>
      </w:tr>
    </w:tbl>
    <w:p w:rsidR="00B532BA" w:rsidRDefault="00B532BA" w:rsidP="0028730D">
      <w:pPr>
        <w:spacing w:after="0"/>
        <w:rPr>
          <w:rFonts w:ascii="Arial" w:hAnsi="Arial"/>
          <w:bCs/>
          <w:color w:val="000000"/>
          <w:lang w:val="en"/>
        </w:rPr>
      </w:pPr>
    </w:p>
    <w:p w:rsidR="004A5DD4" w:rsidRPr="004A5DD4" w:rsidRDefault="0028730D" w:rsidP="0028730D">
      <w:pPr>
        <w:spacing w:after="0"/>
        <w:rPr>
          <w:rFonts w:ascii="Arial" w:hAnsi="Arial"/>
          <w:bCs/>
          <w:color w:val="000000"/>
          <w:lang w:val="en"/>
        </w:rPr>
      </w:pPr>
      <w:r>
        <w:rPr>
          <w:rFonts w:ascii="Arial" w:hAnsi="Arial"/>
          <w:bCs/>
          <w:color w:val="000000"/>
          <w:lang w:val="en"/>
        </w:rPr>
        <w:t xml:space="preserve">NB </w:t>
      </w:r>
      <w:r w:rsidR="004A5DD4">
        <w:rPr>
          <w:rFonts w:ascii="Arial" w:hAnsi="Arial"/>
          <w:bCs/>
          <w:color w:val="000000"/>
          <w:lang w:val="en"/>
        </w:rPr>
        <w:t>"</w:t>
      </w:r>
      <w:r w:rsidR="004A5DD4" w:rsidRPr="004A5DD4">
        <w:rPr>
          <w:rFonts w:ascii="Arial" w:hAnsi="Arial"/>
          <w:bCs/>
          <w:color w:val="000000"/>
          <w:lang w:val="en"/>
        </w:rPr>
        <w:t>Personal data relating to criminal convictions and offences are not included, but similar extra safeguards apply to its processing (see Article 10).</w:t>
      </w:r>
      <w:r w:rsidR="004A5DD4">
        <w:rPr>
          <w:rFonts w:ascii="Arial" w:hAnsi="Arial"/>
          <w:bCs/>
          <w:color w:val="000000"/>
          <w:lang w:val="en"/>
        </w:rPr>
        <w:t>"</w:t>
      </w:r>
    </w:p>
    <w:p w:rsidR="00FF2203" w:rsidRPr="004A5DD4" w:rsidRDefault="004A5DD4" w:rsidP="00AF3DFA">
      <w:pPr>
        <w:spacing w:after="0"/>
        <w:rPr>
          <w:rFonts w:ascii="Arial" w:hAnsi="Arial"/>
          <w:lang w:val="en-US"/>
        </w:rPr>
      </w:pPr>
      <w:r w:rsidRPr="004A5DD4">
        <w:rPr>
          <w:rFonts w:ascii="Arial" w:hAnsi="Arial"/>
          <w:bCs/>
          <w:color w:val="000000"/>
          <w:lang w:val="en"/>
        </w:rPr>
        <w:t xml:space="preserve"> </w:t>
      </w:r>
    </w:p>
    <w:p w:rsidR="00360C2C" w:rsidRPr="004A5DD4" w:rsidRDefault="00FF2203" w:rsidP="00AF3DFA">
      <w:pPr>
        <w:spacing w:after="0"/>
        <w:rPr>
          <w:rFonts w:ascii="Arial" w:hAnsi="Arial"/>
          <w:b/>
          <w:lang w:val="en-US"/>
        </w:rPr>
      </w:pPr>
      <w:r w:rsidRPr="00B532BA">
        <w:rPr>
          <w:rFonts w:ascii="Arial" w:hAnsi="Arial"/>
          <w:b/>
          <w:sz w:val="24"/>
          <w:szCs w:val="24"/>
          <w:lang w:val="en-US"/>
        </w:rPr>
        <w:t>Requirements</w:t>
      </w:r>
      <w:r w:rsidR="008C7CE5" w:rsidRPr="00B532BA">
        <w:rPr>
          <w:rFonts w:ascii="Arial" w:hAnsi="Arial"/>
          <w:b/>
          <w:sz w:val="24"/>
          <w:szCs w:val="24"/>
          <w:lang w:val="en-US"/>
        </w:rPr>
        <w:t xml:space="preserve"> </w:t>
      </w:r>
      <w:r w:rsidR="00360C2C" w:rsidRPr="00B532BA">
        <w:rPr>
          <w:rFonts w:ascii="Arial" w:hAnsi="Arial"/>
          <w:b/>
          <w:sz w:val="24"/>
          <w:szCs w:val="24"/>
          <w:lang w:val="en-US"/>
        </w:rPr>
        <w:t xml:space="preserve">for Research </w:t>
      </w:r>
      <w:r w:rsidR="008C7CE5" w:rsidRPr="00B532BA">
        <w:rPr>
          <w:rFonts w:ascii="Arial" w:hAnsi="Arial"/>
          <w:b/>
          <w:sz w:val="24"/>
          <w:szCs w:val="24"/>
          <w:lang w:val="en-US"/>
        </w:rPr>
        <w:t>under the Act</w:t>
      </w:r>
    </w:p>
    <w:p w:rsidR="00360C2C" w:rsidRDefault="0087366D" w:rsidP="0087366D">
      <w:pPr>
        <w:spacing w:after="0"/>
        <w:rPr>
          <w:rFonts w:ascii="Arial" w:hAnsi="Arial"/>
          <w:lang w:val="en-US"/>
        </w:rPr>
      </w:pPr>
      <w:r w:rsidRPr="004A5DD4">
        <w:rPr>
          <w:rFonts w:ascii="Arial" w:hAnsi="Arial"/>
          <w:b/>
          <w:lang w:val="en-US"/>
        </w:rPr>
        <w:t xml:space="preserve">1. </w:t>
      </w:r>
      <w:r w:rsidR="00FF2203" w:rsidRPr="004A5DD4">
        <w:rPr>
          <w:rFonts w:ascii="Arial" w:hAnsi="Arial"/>
          <w:b/>
          <w:lang w:val="en-US"/>
        </w:rPr>
        <w:t>Researchers must specify</w:t>
      </w:r>
      <w:r w:rsidR="00FF2203" w:rsidRPr="004A5DD4">
        <w:rPr>
          <w:rFonts w:ascii="Arial" w:hAnsi="Arial"/>
          <w:b/>
          <w:color w:val="333333"/>
          <w:lang w:val="en-US"/>
        </w:rPr>
        <w:t xml:space="preserve"> </w:t>
      </w:r>
      <w:r w:rsidR="00360C2C">
        <w:rPr>
          <w:rFonts w:ascii="Arial" w:hAnsi="Arial"/>
          <w:b/>
          <w:color w:val="333333"/>
          <w:lang w:val="en-US"/>
        </w:rPr>
        <w:t>what their</w:t>
      </w:r>
      <w:r w:rsidR="00FF2203" w:rsidRPr="004A5DD4">
        <w:rPr>
          <w:rFonts w:ascii="Arial" w:hAnsi="Arial"/>
          <w:b/>
          <w:lang w:val="en-US"/>
        </w:rPr>
        <w:t xml:space="preserve"> lawful basis </w:t>
      </w:r>
      <w:r w:rsidR="00360C2C">
        <w:rPr>
          <w:rFonts w:ascii="Arial" w:hAnsi="Arial"/>
          <w:b/>
          <w:lang w:val="en-US"/>
        </w:rPr>
        <w:t xml:space="preserve">is </w:t>
      </w:r>
      <w:r w:rsidR="00FF2203" w:rsidRPr="004A5DD4">
        <w:rPr>
          <w:rFonts w:ascii="Arial" w:hAnsi="Arial"/>
          <w:b/>
          <w:lang w:val="en-US"/>
        </w:rPr>
        <w:t>for data processing</w:t>
      </w:r>
      <w:r w:rsidRPr="004A5DD4">
        <w:rPr>
          <w:rFonts w:ascii="Arial" w:hAnsi="Arial"/>
          <w:lang w:val="en-US"/>
        </w:rPr>
        <w:t xml:space="preserve">. </w:t>
      </w:r>
    </w:p>
    <w:p w:rsidR="0087366D" w:rsidRPr="004A5DD4" w:rsidRDefault="00360C2C" w:rsidP="0087366D">
      <w:pPr>
        <w:spacing w:after="0"/>
        <w:rPr>
          <w:rFonts w:ascii="Arial" w:hAnsi="Arial"/>
          <w:b/>
          <w:bCs/>
        </w:rPr>
      </w:pPr>
      <w:r w:rsidRPr="00360C2C">
        <w:rPr>
          <w:rFonts w:ascii="Arial" w:hAnsi="Arial"/>
          <w:lang w:val="en-US"/>
        </w:rPr>
        <w:t>University statement that can be used</w:t>
      </w:r>
      <w:r w:rsidRPr="00360C2C">
        <w:rPr>
          <w:rFonts w:ascii="Arial" w:hAnsi="Arial"/>
          <w:bCs/>
        </w:rPr>
        <w:t>:</w:t>
      </w:r>
      <w:r>
        <w:rPr>
          <w:rFonts w:ascii="Arial" w:hAnsi="Arial"/>
          <w:bCs/>
        </w:rPr>
        <w:t xml:space="preserve"> </w:t>
      </w:r>
      <w:r w:rsidR="0087366D" w:rsidRPr="004A5DD4">
        <w:rPr>
          <w:rFonts w:ascii="Arial" w:hAnsi="Arial"/>
          <w:bCs/>
        </w:rPr>
        <w:t>The University undertakes research as part of its function for the community under its legal status. Data Protection laws allow us to use personal data for research with appropriate safeguards in place under the legal basis of</w:t>
      </w:r>
      <w:r w:rsidR="0087366D" w:rsidRPr="004A5DD4">
        <w:rPr>
          <w:rFonts w:ascii="Arial" w:hAnsi="Arial"/>
          <w:b/>
          <w:bCs/>
        </w:rPr>
        <w:t xml:space="preserve"> public tasks that are in the public interest.</w:t>
      </w:r>
    </w:p>
    <w:p w:rsidR="00360C2C" w:rsidRDefault="00360C2C" w:rsidP="00AF3DFA">
      <w:pPr>
        <w:spacing w:after="0"/>
        <w:rPr>
          <w:rFonts w:ascii="Arial" w:hAnsi="Arial"/>
          <w:bCs/>
        </w:rPr>
      </w:pPr>
    </w:p>
    <w:p w:rsidR="00FF2203" w:rsidRDefault="009E0839" w:rsidP="00AF3DFA">
      <w:pPr>
        <w:spacing w:after="0"/>
        <w:rPr>
          <w:rFonts w:ascii="Arial" w:hAnsi="Arial"/>
          <w:b/>
          <w:lang w:val="en-US"/>
        </w:rPr>
      </w:pPr>
      <w:r w:rsidRPr="004A5DD4">
        <w:rPr>
          <w:rFonts w:ascii="Arial" w:hAnsi="Arial"/>
          <w:bCs/>
        </w:rPr>
        <w:lastRenderedPageBreak/>
        <w:t xml:space="preserve">2. </w:t>
      </w:r>
      <w:r w:rsidR="00360C2C">
        <w:rPr>
          <w:rFonts w:ascii="Arial" w:hAnsi="Arial"/>
          <w:bCs/>
        </w:rPr>
        <w:t xml:space="preserve">For </w:t>
      </w:r>
      <w:r w:rsidR="00360C2C" w:rsidRPr="00360C2C">
        <w:rPr>
          <w:rFonts w:ascii="Arial" w:hAnsi="Arial"/>
          <w:b/>
          <w:bCs/>
        </w:rPr>
        <w:t>special categories of data</w:t>
      </w:r>
      <w:r w:rsidR="00360C2C">
        <w:rPr>
          <w:rFonts w:ascii="Arial" w:hAnsi="Arial"/>
          <w:bCs/>
        </w:rPr>
        <w:t xml:space="preserve"> as defined above</w:t>
      </w:r>
      <w:r w:rsidRPr="004A5DD4">
        <w:rPr>
          <w:rFonts w:ascii="Arial" w:hAnsi="Arial"/>
          <w:bCs/>
        </w:rPr>
        <w:t xml:space="preserve">, an additional legal basis is required and this is normally that </w:t>
      </w:r>
      <w:r w:rsidRPr="004A5DD4">
        <w:rPr>
          <w:rFonts w:ascii="Arial" w:hAnsi="Arial"/>
          <w:lang w:val="en-US"/>
        </w:rPr>
        <w:t xml:space="preserve">such data processing is </w:t>
      </w:r>
      <w:r w:rsidRPr="004A5DD4">
        <w:rPr>
          <w:rFonts w:ascii="Arial" w:hAnsi="Arial"/>
          <w:b/>
          <w:lang w:val="en-US"/>
        </w:rPr>
        <w:t>‘</w:t>
      </w:r>
      <w:r w:rsidRPr="004A5DD4">
        <w:rPr>
          <w:rFonts w:ascii="Arial" w:hAnsi="Arial"/>
          <w:b/>
          <w:i/>
          <w:iCs/>
          <w:lang w:val="en-US"/>
        </w:rPr>
        <w:t>necessary for scientific</w:t>
      </w:r>
      <w:r w:rsidR="00B532BA">
        <w:rPr>
          <w:rFonts w:ascii="Arial" w:hAnsi="Arial"/>
          <w:b/>
          <w:i/>
          <w:iCs/>
          <w:lang w:val="en-US"/>
        </w:rPr>
        <w:t xml:space="preserve"> or historical</w:t>
      </w:r>
      <w:r w:rsidRPr="004A5DD4">
        <w:rPr>
          <w:rFonts w:ascii="Arial" w:hAnsi="Arial"/>
          <w:b/>
          <w:i/>
          <w:iCs/>
          <w:lang w:val="en-US"/>
        </w:rPr>
        <w:t xml:space="preserve"> research</w:t>
      </w:r>
      <w:r w:rsidR="00B532BA">
        <w:rPr>
          <w:rFonts w:ascii="Arial" w:hAnsi="Arial"/>
          <w:b/>
          <w:i/>
          <w:iCs/>
          <w:lang w:val="en-US"/>
        </w:rPr>
        <w:t xml:space="preserve"> for archiving in the public interest</w:t>
      </w:r>
      <w:r w:rsidRPr="004A5DD4">
        <w:rPr>
          <w:rFonts w:ascii="Arial" w:hAnsi="Arial"/>
          <w:b/>
          <w:i/>
          <w:iCs/>
          <w:lang w:val="en-US"/>
        </w:rPr>
        <w:t xml:space="preserve"> in accordance with safeguards’</w:t>
      </w:r>
      <w:r w:rsidRPr="004A5DD4">
        <w:rPr>
          <w:rFonts w:ascii="Arial" w:hAnsi="Arial"/>
          <w:b/>
          <w:lang w:val="en-US"/>
        </w:rPr>
        <w:t>.</w:t>
      </w:r>
    </w:p>
    <w:p w:rsidR="00672BFE" w:rsidRDefault="00672BFE" w:rsidP="008D7784">
      <w:pPr>
        <w:spacing w:after="0"/>
        <w:rPr>
          <w:rFonts w:ascii="Arial" w:hAnsi="Arial"/>
          <w:lang w:val="en-US"/>
        </w:rPr>
      </w:pPr>
    </w:p>
    <w:p w:rsidR="008D7784" w:rsidRDefault="008D7784" w:rsidP="008D7784">
      <w:pPr>
        <w:spacing w:after="0"/>
        <w:rPr>
          <w:rFonts w:ascii="Arial" w:hAnsi="Arial"/>
          <w:lang w:val="en"/>
        </w:rPr>
      </w:pPr>
      <w:r w:rsidRPr="008D7784">
        <w:rPr>
          <w:rFonts w:ascii="Arial" w:hAnsi="Arial"/>
          <w:lang w:val="en-US"/>
        </w:rPr>
        <w:t xml:space="preserve">3. </w:t>
      </w:r>
      <w:r>
        <w:rPr>
          <w:rFonts w:ascii="Arial" w:hAnsi="Arial"/>
          <w:lang w:val="en-US"/>
        </w:rPr>
        <w:t xml:space="preserve">Processing </w:t>
      </w:r>
      <w:r w:rsidRPr="008D7784">
        <w:rPr>
          <w:rFonts w:ascii="Arial" w:hAnsi="Arial"/>
          <w:b/>
          <w:lang w:val="en-US"/>
        </w:rPr>
        <w:t>Data Related to Criminal Offences</w:t>
      </w:r>
      <w:r w:rsidRPr="008D7784">
        <w:rPr>
          <w:rFonts w:ascii="Arial" w:hAnsi="Arial"/>
          <w:lang w:val="en-US"/>
        </w:rPr>
        <w:t xml:space="preserve"> </w:t>
      </w:r>
      <w:r>
        <w:rPr>
          <w:rFonts w:ascii="Arial" w:hAnsi="Arial"/>
          <w:lang w:val="en-US"/>
        </w:rPr>
        <w:t xml:space="preserve">for research still requires specification of a </w:t>
      </w:r>
      <w:r w:rsidRPr="008D7784">
        <w:rPr>
          <w:rFonts w:ascii="Arial" w:hAnsi="Arial"/>
          <w:lang w:val="en"/>
        </w:rPr>
        <w:t>lawful basis for processing under Article 6,</w:t>
      </w:r>
      <w:r>
        <w:rPr>
          <w:rFonts w:ascii="Arial" w:hAnsi="Arial"/>
          <w:lang w:val="en"/>
        </w:rPr>
        <w:t xml:space="preserve"> but </w:t>
      </w:r>
      <w:r w:rsidRPr="008D7784">
        <w:rPr>
          <w:rFonts w:ascii="Arial" w:hAnsi="Arial"/>
          <w:lang w:val="en"/>
        </w:rPr>
        <w:t>also need</w:t>
      </w:r>
      <w:r>
        <w:rPr>
          <w:rFonts w:ascii="Arial" w:hAnsi="Arial"/>
          <w:lang w:val="en"/>
        </w:rPr>
        <w:t>s</w:t>
      </w:r>
      <w:r w:rsidRPr="008D7784">
        <w:rPr>
          <w:rFonts w:ascii="Arial" w:hAnsi="Arial"/>
          <w:lang w:val="en"/>
        </w:rPr>
        <w:t xml:space="preserve"> to comply with Article 10</w:t>
      </w:r>
      <w:r>
        <w:rPr>
          <w:rFonts w:ascii="Arial" w:hAnsi="Arial"/>
          <w:lang w:val="en"/>
        </w:rPr>
        <w:t xml:space="preserve"> which says:</w:t>
      </w:r>
    </w:p>
    <w:p w:rsidR="008D7784" w:rsidRDefault="008D7784" w:rsidP="00AF3DFA">
      <w:pPr>
        <w:spacing w:after="0"/>
        <w:rPr>
          <w:rFonts w:ascii="Arial" w:hAnsi="Arial"/>
          <w:lang w:val="en-US"/>
        </w:rPr>
      </w:pPr>
      <w:r w:rsidRPr="008D7784">
        <w:rPr>
          <w:rFonts w:ascii="Arial" w:hAnsi="Arial"/>
          <w:lang w:val="en"/>
        </w:rPr>
        <w:t xml:space="preserve"> “</w:t>
      </w:r>
      <w:r w:rsidRPr="008D7784">
        <w:rPr>
          <w:rFonts w:ascii="Arial" w:hAnsi="Arial"/>
          <w:i/>
          <w:lang w:val="en"/>
        </w:rPr>
        <w:t>Processing of personal data relating to criminal convictions and offences or related security measures based on Article 6(1) shall be carried out only under the control of official authority or when the processing is</w:t>
      </w:r>
      <w:r w:rsidRPr="00BE4A01">
        <w:rPr>
          <w:rFonts w:ascii="Arial" w:hAnsi="Arial"/>
          <w:i/>
        </w:rPr>
        <w:t xml:space="preserve"> authorised</w:t>
      </w:r>
      <w:r w:rsidRPr="008D7784">
        <w:rPr>
          <w:rFonts w:ascii="Arial" w:hAnsi="Arial"/>
          <w:i/>
          <w:lang w:val="en"/>
        </w:rPr>
        <w:t xml:space="preserve"> by Union or Member State law providing for appropriate safeguards for the rights and freedoms of data subjects. Any comprehensive register of criminal convictions shall be kept only under the control of official authority.</w:t>
      </w:r>
      <w:r w:rsidRPr="008D7784">
        <w:rPr>
          <w:rFonts w:ascii="Arial" w:hAnsi="Arial"/>
          <w:lang w:val="en"/>
        </w:rPr>
        <w:t>”</w:t>
      </w:r>
      <w:r w:rsidR="00672BFE">
        <w:rPr>
          <w:rFonts w:ascii="Arial" w:hAnsi="Arial"/>
          <w:lang w:val="en"/>
        </w:rPr>
        <w:t xml:space="preserve"> </w:t>
      </w:r>
    </w:p>
    <w:p w:rsidR="008D7784" w:rsidRPr="004A5DD4" w:rsidRDefault="008D7784" w:rsidP="00AF3DFA">
      <w:pPr>
        <w:spacing w:after="0"/>
        <w:rPr>
          <w:rFonts w:ascii="Arial" w:hAnsi="Arial"/>
          <w:b/>
          <w:lang w:val="en-US"/>
        </w:rPr>
      </w:pPr>
      <w:r w:rsidRPr="008D7784">
        <w:rPr>
          <w:rFonts w:ascii="Arial" w:hAnsi="Arial"/>
          <w:lang w:val="en-US"/>
        </w:rPr>
        <w:t xml:space="preserve">Further guidance </w:t>
      </w:r>
      <w:r>
        <w:rPr>
          <w:rFonts w:ascii="Arial" w:hAnsi="Arial"/>
          <w:lang w:val="en-US"/>
        </w:rPr>
        <w:t>on</w:t>
      </w:r>
      <w:r w:rsidRPr="008D7784">
        <w:rPr>
          <w:rFonts w:ascii="Arial" w:hAnsi="Arial"/>
          <w:b/>
          <w:lang w:val="en-US"/>
        </w:rPr>
        <w:t xml:space="preserve"> </w:t>
      </w:r>
      <w:r w:rsidRPr="008D7784">
        <w:rPr>
          <w:rFonts w:ascii="Arial" w:hAnsi="Arial"/>
          <w:lang w:val="en-US"/>
        </w:rPr>
        <w:t>Data Related to Criminal Offences</w:t>
      </w:r>
      <w:r>
        <w:rPr>
          <w:rFonts w:ascii="Arial" w:hAnsi="Arial"/>
          <w:lang w:val="en-US"/>
        </w:rPr>
        <w:t xml:space="preserve"> </w:t>
      </w:r>
      <w:r w:rsidRPr="008D7784">
        <w:rPr>
          <w:rFonts w:ascii="Arial" w:hAnsi="Arial"/>
          <w:lang w:val="en-US"/>
        </w:rPr>
        <w:t>is to be issued</w:t>
      </w:r>
      <w:r>
        <w:rPr>
          <w:rFonts w:ascii="Arial" w:hAnsi="Arial"/>
          <w:lang w:val="en-US"/>
        </w:rPr>
        <w:t xml:space="preserve"> at some point. </w:t>
      </w:r>
    </w:p>
    <w:p w:rsidR="008D7784" w:rsidRDefault="008D7784" w:rsidP="00AF3DFA">
      <w:pPr>
        <w:spacing w:after="0"/>
        <w:rPr>
          <w:rFonts w:ascii="Arial" w:hAnsi="Arial"/>
          <w:b/>
          <w:lang w:val="en-US"/>
        </w:rPr>
      </w:pPr>
    </w:p>
    <w:p w:rsidR="00A110FC" w:rsidRDefault="00A110FC" w:rsidP="00AF3DFA">
      <w:pPr>
        <w:spacing w:after="0"/>
        <w:rPr>
          <w:rFonts w:ascii="Arial" w:hAnsi="Arial"/>
          <w:lang w:val="en-US"/>
        </w:rPr>
      </w:pPr>
      <w:r w:rsidRPr="004A5DD4">
        <w:rPr>
          <w:rFonts w:ascii="Arial" w:hAnsi="Arial"/>
          <w:b/>
          <w:lang w:val="en-US"/>
        </w:rPr>
        <w:t>Safeguards applied to research in the University context</w:t>
      </w:r>
      <w:r w:rsidRPr="004A5DD4">
        <w:rPr>
          <w:rFonts w:ascii="Arial" w:hAnsi="Arial"/>
          <w:lang w:val="en-US"/>
        </w:rPr>
        <w:t xml:space="preserve"> include conformity with the </w:t>
      </w:r>
      <w:r w:rsidR="00D552B5">
        <w:rPr>
          <w:rFonts w:ascii="Arial" w:hAnsi="Arial"/>
          <w:lang w:val="en-US"/>
        </w:rPr>
        <w:t>University IT Policies and Procedures</w:t>
      </w:r>
      <w:r w:rsidR="00B532BA">
        <w:rPr>
          <w:rFonts w:ascii="Arial" w:hAnsi="Arial"/>
          <w:lang w:val="en-US"/>
        </w:rPr>
        <w:t xml:space="preserve"> to ensure security of all data collected</w:t>
      </w:r>
      <w:r w:rsidR="00D552B5">
        <w:rPr>
          <w:rFonts w:ascii="Arial" w:hAnsi="Arial"/>
          <w:lang w:val="en-US"/>
        </w:rPr>
        <w:t xml:space="preserve">, the </w:t>
      </w:r>
      <w:r w:rsidRPr="004A5DD4">
        <w:rPr>
          <w:rFonts w:ascii="Arial" w:hAnsi="Arial"/>
          <w:lang w:val="en-US"/>
        </w:rPr>
        <w:t xml:space="preserve">University Research Ethics Policies and Procedures, University Research Ethics Committee approval for specific studies, data </w:t>
      </w:r>
      <w:r w:rsidRPr="004A5DD4">
        <w:rPr>
          <w:rFonts w:ascii="Arial" w:hAnsi="Arial"/>
        </w:rPr>
        <w:t>minimisation</w:t>
      </w:r>
      <w:r w:rsidRPr="004A5DD4">
        <w:rPr>
          <w:rFonts w:ascii="Arial" w:hAnsi="Arial"/>
          <w:lang w:val="en-US"/>
        </w:rPr>
        <w:t xml:space="preserve">, (i.e. only collecting personal data that is essential for a study) and </w:t>
      </w:r>
      <w:r w:rsidRPr="004A5DD4">
        <w:rPr>
          <w:rFonts w:ascii="Arial" w:hAnsi="Arial"/>
        </w:rPr>
        <w:t>anonymising</w:t>
      </w:r>
      <w:r w:rsidRPr="004A5DD4">
        <w:rPr>
          <w:rFonts w:ascii="Arial" w:hAnsi="Arial"/>
          <w:lang w:val="en-US"/>
        </w:rPr>
        <w:t xml:space="preserve"> or </w:t>
      </w:r>
      <w:r w:rsidRPr="004A5DD4">
        <w:rPr>
          <w:rFonts w:ascii="Arial" w:hAnsi="Arial"/>
        </w:rPr>
        <w:t>pseudonymising</w:t>
      </w:r>
      <w:r w:rsidR="00360C2C">
        <w:rPr>
          <w:rFonts w:ascii="Arial" w:hAnsi="Arial"/>
        </w:rPr>
        <w:t xml:space="preserve"> (see below)</w:t>
      </w:r>
      <w:r w:rsidRPr="004A5DD4">
        <w:rPr>
          <w:rFonts w:ascii="Arial" w:hAnsi="Arial"/>
          <w:lang w:val="en-US"/>
        </w:rPr>
        <w:t xml:space="preserve"> such data whenever possible</w:t>
      </w:r>
      <w:r w:rsidR="00631E90">
        <w:rPr>
          <w:rFonts w:ascii="Arial" w:hAnsi="Arial"/>
          <w:lang w:val="en-US"/>
        </w:rPr>
        <w:t xml:space="preserve">. </w:t>
      </w:r>
      <w:r w:rsidR="00C563AE">
        <w:rPr>
          <w:rFonts w:ascii="Arial" w:hAnsi="Arial"/>
          <w:lang w:val="en-US"/>
        </w:rPr>
        <w:t>There are 10 conditions specified for processing special category data in the A</w:t>
      </w:r>
      <w:r w:rsidR="00033616">
        <w:rPr>
          <w:rFonts w:ascii="Arial" w:hAnsi="Arial"/>
          <w:lang w:val="en-US"/>
        </w:rPr>
        <w:t>ct and these can be found at</w:t>
      </w:r>
      <w:r w:rsidR="00C563AE">
        <w:rPr>
          <w:rFonts w:ascii="Arial" w:hAnsi="Arial"/>
          <w:lang w:val="en-US"/>
        </w:rPr>
        <w:t xml:space="preserve"> </w:t>
      </w:r>
      <w:hyperlink r:id="rId8" w:history="1">
        <w:r w:rsidR="00033616" w:rsidRPr="008E7C84">
          <w:rPr>
            <w:rStyle w:val="Hyperlink"/>
            <w:rFonts w:ascii="Arial" w:hAnsi="Arial"/>
            <w:lang w:val="en-US"/>
          </w:rPr>
          <w:t>https://ico.org.uk/for-organisations/guide-to-the-general-data-protection-regulation-gdpr/lawful-basis-for-processing/special-category-data/</w:t>
        </w:r>
      </w:hyperlink>
    </w:p>
    <w:p w:rsidR="00033616" w:rsidRDefault="00033616" w:rsidP="00AF3DFA">
      <w:pPr>
        <w:spacing w:after="0"/>
        <w:rPr>
          <w:rFonts w:ascii="Arial" w:hAnsi="Arial"/>
          <w:lang w:val="en-US"/>
        </w:rPr>
      </w:pPr>
      <w:r>
        <w:rPr>
          <w:rFonts w:ascii="Arial" w:hAnsi="Arial"/>
          <w:lang w:val="en-US"/>
        </w:rPr>
        <w:t xml:space="preserve">The ones most relevant to research are: </w:t>
      </w:r>
    </w:p>
    <w:p w:rsidR="00360C2C" w:rsidRPr="00631E90" w:rsidRDefault="00033616" w:rsidP="00AF3DFA">
      <w:pPr>
        <w:spacing w:after="0"/>
        <w:rPr>
          <w:rFonts w:ascii="Arial" w:hAnsi="Arial"/>
          <w:lang w:val="en"/>
        </w:rPr>
      </w:pPr>
      <w:r w:rsidRPr="00033616">
        <w:rPr>
          <w:rFonts w:ascii="Arial" w:hAnsi="Arial"/>
          <w:i/>
          <w:lang w:val="en"/>
        </w:rPr>
        <w:t>(j)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r w:rsidR="00631E90">
        <w:rPr>
          <w:rFonts w:ascii="Arial" w:hAnsi="Arial"/>
          <w:i/>
          <w:lang w:val="en"/>
        </w:rPr>
        <w:t xml:space="preserve"> </w:t>
      </w:r>
      <w:r w:rsidR="00631E90">
        <w:rPr>
          <w:rFonts w:ascii="Arial" w:hAnsi="Arial"/>
          <w:lang w:val="en"/>
        </w:rPr>
        <w:t>This is the one most likely to be used.</w:t>
      </w:r>
    </w:p>
    <w:p w:rsidR="00033616" w:rsidRDefault="00033616" w:rsidP="00AF3DFA">
      <w:pPr>
        <w:spacing w:after="0"/>
        <w:rPr>
          <w:rFonts w:ascii="Arial" w:hAnsi="Arial"/>
          <w:i/>
          <w:lang w:val="en"/>
        </w:rPr>
      </w:pPr>
    </w:p>
    <w:p w:rsidR="00631E90" w:rsidRPr="00BB245E" w:rsidRDefault="002872C6" w:rsidP="00AF3DFA">
      <w:pPr>
        <w:spacing w:after="0"/>
        <w:rPr>
          <w:rFonts w:ascii="Arial" w:hAnsi="Arial"/>
          <w:i/>
          <w:lang w:val="en"/>
        </w:rPr>
      </w:pPr>
      <w:r>
        <w:rPr>
          <w:rFonts w:ascii="Arial" w:hAnsi="Arial"/>
          <w:i/>
          <w:lang w:val="en"/>
        </w:rPr>
        <w:t xml:space="preserve">a) </w:t>
      </w:r>
      <w:r w:rsidRPr="002872C6">
        <w:rPr>
          <w:rFonts w:ascii="Arial" w:hAnsi="Arial"/>
          <w:i/>
          <w:lang w:val="en"/>
        </w:rPr>
        <w:t>the data subject has given explicit consent to the processing of those personal data for one or more specified purposes, except where Union or Member State law provide that the prohibition referred to in paragraph 1 may not be lifted by the data subject;</w:t>
      </w:r>
      <w:r w:rsidR="00631E90">
        <w:rPr>
          <w:rFonts w:ascii="Arial" w:hAnsi="Arial"/>
          <w:i/>
          <w:lang w:val="en"/>
        </w:rPr>
        <w:t xml:space="preserve">  </w:t>
      </w:r>
    </w:p>
    <w:p w:rsidR="00BB245E" w:rsidRPr="00BB245E" w:rsidRDefault="00BB245E" w:rsidP="00AF3DFA">
      <w:pPr>
        <w:spacing w:after="0"/>
        <w:rPr>
          <w:rFonts w:ascii="Arial" w:hAnsi="Arial"/>
          <w:lang w:val="en"/>
        </w:rPr>
      </w:pPr>
      <w:r>
        <w:rPr>
          <w:rFonts w:ascii="Arial" w:hAnsi="Arial"/>
          <w:lang w:val="en"/>
        </w:rPr>
        <w:t>Consent as part of ethics but consent is not the legal basis for University research.</w:t>
      </w:r>
    </w:p>
    <w:p w:rsidR="00BB245E" w:rsidRDefault="00BB245E" w:rsidP="00AF3DFA">
      <w:pPr>
        <w:spacing w:after="0"/>
        <w:rPr>
          <w:rFonts w:ascii="Arial" w:hAnsi="Arial"/>
          <w:i/>
          <w:lang w:val="en"/>
        </w:rPr>
      </w:pPr>
    </w:p>
    <w:p w:rsidR="002872C6" w:rsidRDefault="002872C6" w:rsidP="00AF3DFA">
      <w:pPr>
        <w:spacing w:after="0"/>
        <w:rPr>
          <w:rFonts w:ascii="Arial" w:hAnsi="Arial"/>
          <w:i/>
          <w:lang w:val="en"/>
        </w:rPr>
      </w:pPr>
      <w:r w:rsidRPr="002872C6">
        <w:rPr>
          <w:rFonts w:ascii="Arial" w:hAnsi="Arial"/>
          <w:i/>
          <w:lang w:val="en"/>
        </w:rPr>
        <w:t>(e) processing relates to personal data which are manifestly made public by   the data subject;</w:t>
      </w:r>
    </w:p>
    <w:p w:rsidR="00033616" w:rsidRPr="00033616" w:rsidRDefault="00033616" w:rsidP="00AF3DFA">
      <w:pPr>
        <w:spacing w:after="0"/>
        <w:rPr>
          <w:rFonts w:ascii="Arial" w:hAnsi="Arial"/>
          <w:i/>
          <w:lang w:val="en-US"/>
        </w:rPr>
      </w:pPr>
    </w:p>
    <w:p w:rsidR="00360C2C" w:rsidRPr="00360C2C" w:rsidRDefault="002872C6" w:rsidP="00360C2C">
      <w:pPr>
        <w:spacing w:after="0"/>
        <w:rPr>
          <w:rFonts w:ascii="Arial" w:hAnsi="Arial"/>
          <w:lang w:val="en-US"/>
        </w:rPr>
      </w:pPr>
      <w:r>
        <w:rPr>
          <w:rFonts w:ascii="Arial" w:hAnsi="Arial"/>
          <w:lang w:val="en-US"/>
        </w:rPr>
        <w:t xml:space="preserve">3. </w:t>
      </w:r>
      <w:r w:rsidR="00360C2C" w:rsidRPr="00360C2C">
        <w:rPr>
          <w:rFonts w:ascii="Arial" w:hAnsi="Arial"/>
          <w:lang w:val="en-US"/>
        </w:rPr>
        <w:t xml:space="preserve">The Act talks about </w:t>
      </w:r>
      <w:r w:rsidR="00360C2C" w:rsidRPr="00360C2C">
        <w:rPr>
          <w:rFonts w:ascii="Arial" w:hAnsi="Arial"/>
          <w:b/>
          <w:lang w:val="en-US"/>
        </w:rPr>
        <w:t>pseudonymised data.</w:t>
      </w:r>
      <w:r w:rsidR="00360C2C" w:rsidRPr="00360C2C">
        <w:rPr>
          <w:rFonts w:ascii="Arial" w:hAnsi="Arial"/>
          <w:lang w:val="en-US"/>
        </w:rPr>
        <w:t xml:space="preserve"> For research, this refers for example to </w:t>
      </w:r>
      <w:r w:rsidR="00360C2C" w:rsidRPr="00360C2C">
        <w:rPr>
          <w:rFonts w:ascii="Arial" w:hAnsi="Arial"/>
        </w:rPr>
        <w:t>anonymised</w:t>
      </w:r>
      <w:r w:rsidR="00360C2C" w:rsidRPr="00360C2C">
        <w:rPr>
          <w:rFonts w:ascii="Arial" w:hAnsi="Arial"/>
          <w:lang w:val="en-US"/>
        </w:rPr>
        <w:t xml:space="preserve"> qualitative data from interviews/focus groups or </w:t>
      </w:r>
      <w:r w:rsidR="00360C2C" w:rsidRPr="00360C2C">
        <w:rPr>
          <w:rFonts w:ascii="Arial" w:hAnsi="Arial"/>
        </w:rPr>
        <w:t>anonymised</w:t>
      </w:r>
      <w:r w:rsidR="00360C2C" w:rsidRPr="00360C2C">
        <w:rPr>
          <w:rFonts w:ascii="Arial" w:hAnsi="Arial"/>
          <w:lang w:val="en-US"/>
        </w:rPr>
        <w:t xml:space="preserve"> quantitative data in longitudinal/ experimental studies where the dataset and the key to identifying the research participants are held within the University. For this reason the data is described as being pseudonymised rather than truly </w:t>
      </w:r>
      <w:r w:rsidR="00360C2C" w:rsidRPr="00360C2C">
        <w:rPr>
          <w:rFonts w:ascii="Arial" w:hAnsi="Arial"/>
        </w:rPr>
        <w:t>anonymised</w:t>
      </w:r>
      <w:r w:rsidR="00360C2C" w:rsidRPr="00360C2C">
        <w:rPr>
          <w:rFonts w:ascii="Arial" w:hAnsi="Arial"/>
          <w:lang w:val="en-US"/>
        </w:rPr>
        <w:t xml:space="preserve">. Further guidance on psuedonymisation is available from the </w:t>
      </w:r>
      <w:hyperlink r:id="rId9" w:tgtFrame="_blank" w:history="1">
        <w:r w:rsidR="00360C2C" w:rsidRPr="00360C2C">
          <w:rPr>
            <w:rStyle w:val="Hyperlink"/>
            <w:rFonts w:ascii="Arial" w:hAnsi="Arial"/>
            <w:lang w:val="en-US"/>
          </w:rPr>
          <w:t xml:space="preserve">ICO </w:t>
        </w:r>
        <w:r w:rsidR="00360C2C" w:rsidRPr="00BE4A01">
          <w:rPr>
            <w:rStyle w:val="Hyperlink"/>
            <w:rFonts w:ascii="Arial" w:hAnsi="Arial"/>
          </w:rPr>
          <w:t>‘Anonymisation</w:t>
        </w:r>
        <w:r w:rsidR="00360C2C" w:rsidRPr="00360C2C">
          <w:rPr>
            <w:rStyle w:val="Hyperlink"/>
            <w:rFonts w:ascii="Arial" w:hAnsi="Arial"/>
            <w:lang w:val="en-US"/>
          </w:rPr>
          <w:t xml:space="preserve"> code of practice</w:t>
        </w:r>
        <w:r w:rsidR="00360C2C" w:rsidRPr="00360C2C">
          <w:rPr>
            <w:rStyle w:val="Hyperlink"/>
            <w:rFonts w:ascii="Arial" w:hAnsi="Arial"/>
            <w:vanish/>
            <w:lang w:val="en-US"/>
          </w:rPr>
          <w:t>opens in new window</w:t>
        </w:r>
      </w:hyperlink>
      <w:r w:rsidR="00360C2C" w:rsidRPr="00360C2C">
        <w:rPr>
          <w:rFonts w:ascii="Arial" w:hAnsi="Arial"/>
          <w:lang w:val="en-US"/>
        </w:rPr>
        <w:t>’</w:t>
      </w:r>
    </w:p>
    <w:p w:rsidR="00360C2C" w:rsidRDefault="00360C2C" w:rsidP="00AF3DFA">
      <w:pPr>
        <w:spacing w:after="0"/>
        <w:rPr>
          <w:rFonts w:ascii="Arial" w:hAnsi="Arial"/>
          <w:lang w:val="en-US"/>
        </w:rPr>
      </w:pPr>
    </w:p>
    <w:p w:rsidR="00360C2C" w:rsidRPr="00360C2C" w:rsidRDefault="00360C2C" w:rsidP="00AF3DFA">
      <w:pPr>
        <w:spacing w:after="0"/>
        <w:rPr>
          <w:rFonts w:ascii="Arial" w:hAnsi="Arial"/>
          <w:b/>
          <w:lang w:val="en-US"/>
        </w:rPr>
      </w:pPr>
      <w:r w:rsidRPr="00360C2C">
        <w:rPr>
          <w:rFonts w:ascii="Arial" w:hAnsi="Arial"/>
          <w:b/>
          <w:lang w:val="en-US"/>
        </w:rPr>
        <w:t>Demonstrating Transparency</w:t>
      </w:r>
      <w:r>
        <w:rPr>
          <w:rFonts w:ascii="Arial" w:hAnsi="Arial"/>
          <w:b/>
          <w:lang w:val="en-US"/>
        </w:rPr>
        <w:t xml:space="preserve"> </w:t>
      </w:r>
    </w:p>
    <w:p w:rsidR="00360C2C" w:rsidRDefault="008C7CE5" w:rsidP="00AF3DFA">
      <w:pPr>
        <w:spacing w:after="0"/>
        <w:rPr>
          <w:rFonts w:ascii="Arial" w:hAnsi="Arial"/>
        </w:rPr>
      </w:pPr>
      <w:r w:rsidRPr="004A5DD4">
        <w:rPr>
          <w:rFonts w:ascii="Arial" w:hAnsi="Arial"/>
          <w:lang w:val="en-US"/>
        </w:rPr>
        <w:t xml:space="preserve">The Act requires more emphasis be put on informing research participants </w:t>
      </w:r>
      <w:r w:rsidR="00360C2C">
        <w:rPr>
          <w:rFonts w:ascii="Arial" w:hAnsi="Arial"/>
          <w:lang w:val="en-US"/>
        </w:rPr>
        <w:t xml:space="preserve">about </w:t>
      </w:r>
      <w:r w:rsidRPr="004A5DD4">
        <w:rPr>
          <w:rFonts w:ascii="Arial" w:hAnsi="Arial"/>
          <w:lang w:val="en-US"/>
        </w:rPr>
        <w:t>how the data they provide for research is handled.</w:t>
      </w:r>
      <w:r w:rsidR="002872C6" w:rsidRPr="002872C6">
        <w:rPr>
          <w:rFonts w:ascii="Arial" w:hAnsi="Arial"/>
          <w:b/>
          <w:lang w:val="en-US"/>
        </w:rPr>
        <w:t xml:space="preserve"> </w:t>
      </w:r>
      <w:r w:rsidR="002872C6" w:rsidRPr="002872C6">
        <w:rPr>
          <w:rFonts w:ascii="Arial" w:hAnsi="Arial"/>
          <w:lang w:val="en-US"/>
        </w:rPr>
        <w:t>The information that is provided to research participants must be easy to understand and as concise as possible.</w:t>
      </w:r>
      <w:r w:rsidR="002872C6">
        <w:rPr>
          <w:rFonts w:ascii="Arial" w:hAnsi="Arial"/>
          <w:lang w:val="en-US"/>
        </w:rPr>
        <w:t xml:space="preserve"> Information that is provided via web links should also be available in print format for participants who may not have </w:t>
      </w:r>
      <w:r w:rsidR="00A8566B">
        <w:rPr>
          <w:rFonts w:ascii="Arial" w:hAnsi="Arial"/>
          <w:lang w:val="en-US"/>
        </w:rPr>
        <w:t>easy web access (leaflets and posters).</w:t>
      </w:r>
      <w:r w:rsidRPr="004A5DD4">
        <w:rPr>
          <w:rFonts w:ascii="Arial" w:hAnsi="Arial"/>
          <w:lang w:val="en-US"/>
        </w:rPr>
        <w:t xml:space="preserve"> The recommendation is </w:t>
      </w:r>
      <w:r w:rsidR="00A8566B">
        <w:rPr>
          <w:rFonts w:ascii="Arial" w:hAnsi="Arial"/>
          <w:lang w:val="en-US"/>
        </w:rPr>
        <w:t xml:space="preserve">for </w:t>
      </w:r>
      <w:r w:rsidRPr="004A5DD4">
        <w:rPr>
          <w:rFonts w:ascii="Arial" w:hAnsi="Arial"/>
          <w:lang w:val="en-US"/>
        </w:rPr>
        <w:t>a hierarchical approach</w:t>
      </w:r>
      <w:r w:rsidR="00A8566B">
        <w:rPr>
          <w:rFonts w:ascii="Arial" w:hAnsi="Arial"/>
          <w:lang w:val="en-US"/>
        </w:rPr>
        <w:t xml:space="preserve"> to dissemination</w:t>
      </w:r>
      <w:r w:rsidR="004F6A6B">
        <w:rPr>
          <w:rFonts w:ascii="Arial" w:hAnsi="Arial"/>
          <w:lang w:val="en-US"/>
        </w:rPr>
        <w:t xml:space="preserve"> </w:t>
      </w:r>
      <w:r w:rsidRPr="004A5DD4">
        <w:rPr>
          <w:rFonts w:ascii="Arial" w:hAnsi="Arial"/>
          <w:lang w:val="en-US"/>
        </w:rPr>
        <w:t xml:space="preserve">within </w:t>
      </w:r>
      <w:r w:rsidRPr="00360C2C">
        <w:rPr>
          <w:rFonts w:ascii="Arial" w:hAnsi="Arial"/>
        </w:rPr>
        <w:t>organisations</w:t>
      </w:r>
      <w:r w:rsidR="00360C2C">
        <w:rPr>
          <w:rFonts w:ascii="Arial" w:hAnsi="Arial"/>
        </w:rPr>
        <w:t xml:space="preserve"> and the University has adopted this with:</w:t>
      </w:r>
    </w:p>
    <w:p w:rsidR="004C6411" w:rsidRPr="004C6411" w:rsidRDefault="00360C2C" w:rsidP="004C6411">
      <w:pPr>
        <w:rPr>
          <w:rFonts w:cs="Times New Roman"/>
          <w:color w:val="1F497D"/>
        </w:rPr>
      </w:pPr>
      <w:r>
        <w:rPr>
          <w:rFonts w:ascii="Arial" w:hAnsi="Arial"/>
          <w:lang w:val="en-US"/>
        </w:rPr>
        <w:t xml:space="preserve">1.  </w:t>
      </w:r>
      <w:r w:rsidRPr="00C563AE">
        <w:rPr>
          <w:rFonts w:ascii="Arial" w:hAnsi="Arial"/>
          <w:b/>
          <w:lang w:val="en-US"/>
        </w:rPr>
        <w:t xml:space="preserve">University level Information </w:t>
      </w:r>
      <w:r>
        <w:rPr>
          <w:rFonts w:ascii="Arial" w:hAnsi="Arial"/>
          <w:lang w:val="en-US"/>
        </w:rPr>
        <w:t xml:space="preserve">delivered via a website with Privacy Statements including one for specifically for </w:t>
      </w:r>
      <w:r w:rsidR="00BE4A01">
        <w:rPr>
          <w:rFonts w:ascii="Arial" w:hAnsi="Arial"/>
          <w:lang w:val="en-US"/>
        </w:rPr>
        <w:t xml:space="preserve">research </w:t>
      </w:r>
      <w:hyperlink r:id="rId10" w:history="1">
        <w:r w:rsidR="004C6411" w:rsidRPr="004C6411">
          <w:rPr>
            <w:rFonts w:cs="Times New Roman"/>
            <w:color w:val="0000FF"/>
            <w:u w:val="single"/>
          </w:rPr>
          <w:t>https://www.shu.ac.uk/about-this-website/privacy-policy/privacy-notices/privacy-notice-for-research</w:t>
        </w:r>
      </w:hyperlink>
    </w:p>
    <w:p w:rsidR="006E4197" w:rsidRPr="00A8566B" w:rsidRDefault="004C6411" w:rsidP="004C6411">
      <w:pPr>
        <w:spacing w:after="0"/>
        <w:rPr>
          <w:rFonts w:ascii="Arial" w:hAnsi="Arial"/>
          <w:lang w:val="en-US"/>
        </w:rPr>
      </w:pPr>
      <w:r>
        <w:rPr>
          <w:rFonts w:ascii="Arial" w:hAnsi="Arial"/>
          <w:lang w:val="en-US"/>
        </w:rPr>
        <w:t xml:space="preserve"> This can also be made available as a p</w:t>
      </w:r>
      <w:r w:rsidR="00ED2A7D">
        <w:rPr>
          <w:rFonts w:ascii="Arial" w:hAnsi="Arial"/>
          <w:lang w:val="en-US"/>
        </w:rPr>
        <w:t>oster</w:t>
      </w:r>
      <w:r>
        <w:rPr>
          <w:rFonts w:ascii="Arial" w:hAnsi="Arial"/>
          <w:lang w:val="en-US"/>
        </w:rPr>
        <w:t xml:space="preserve"> and/or </w:t>
      </w:r>
      <w:proofErr w:type="spellStart"/>
      <w:r>
        <w:rPr>
          <w:rFonts w:ascii="Arial" w:hAnsi="Arial"/>
          <w:lang w:val="en-US"/>
        </w:rPr>
        <w:t>personalised</w:t>
      </w:r>
      <w:proofErr w:type="spellEnd"/>
      <w:r>
        <w:rPr>
          <w:rFonts w:ascii="Arial" w:hAnsi="Arial"/>
          <w:lang w:val="en-US"/>
        </w:rPr>
        <w:t xml:space="preserve"> for local Research Institute/ Centre or Department.  </w:t>
      </w:r>
    </w:p>
    <w:p w:rsidR="00ED2A7D" w:rsidRDefault="00ED2A7D" w:rsidP="00AF3DFA">
      <w:pPr>
        <w:spacing w:after="0"/>
        <w:rPr>
          <w:rFonts w:ascii="Arial" w:hAnsi="Arial"/>
          <w:lang w:val="en-US"/>
        </w:rPr>
      </w:pPr>
    </w:p>
    <w:p w:rsidR="00C563AE" w:rsidRDefault="00360C2C" w:rsidP="00AF3DFA">
      <w:pPr>
        <w:spacing w:after="0"/>
        <w:rPr>
          <w:rFonts w:ascii="Arial" w:hAnsi="Arial"/>
          <w:lang w:val="en-US"/>
        </w:rPr>
      </w:pPr>
      <w:r>
        <w:rPr>
          <w:rFonts w:ascii="Arial" w:hAnsi="Arial"/>
          <w:lang w:val="en-US"/>
        </w:rPr>
        <w:lastRenderedPageBreak/>
        <w:t>2.</w:t>
      </w:r>
      <w:r w:rsidRPr="00C563AE">
        <w:rPr>
          <w:rFonts w:ascii="Arial" w:hAnsi="Arial"/>
          <w:b/>
          <w:lang w:val="en-US"/>
        </w:rPr>
        <w:t xml:space="preserve"> Research Centre/ Depart</w:t>
      </w:r>
      <w:r w:rsidR="00C563AE" w:rsidRPr="00C563AE">
        <w:rPr>
          <w:rFonts w:ascii="Arial" w:hAnsi="Arial"/>
          <w:b/>
          <w:lang w:val="en-US"/>
        </w:rPr>
        <w:t>ment Information</w:t>
      </w:r>
      <w:r w:rsidR="00C563AE">
        <w:rPr>
          <w:rFonts w:ascii="Arial" w:hAnsi="Arial"/>
          <w:lang w:val="en-US"/>
        </w:rPr>
        <w:t>:</w:t>
      </w:r>
    </w:p>
    <w:p w:rsidR="00C563AE" w:rsidRDefault="00C563AE" w:rsidP="00C563AE">
      <w:pPr>
        <w:pStyle w:val="ListParagraph"/>
        <w:numPr>
          <w:ilvl w:val="0"/>
          <w:numId w:val="4"/>
        </w:numPr>
        <w:spacing w:after="0"/>
        <w:rPr>
          <w:rFonts w:ascii="Arial" w:hAnsi="Arial"/>
          <w:lang w:val="en-US"/>
        </w:rPr>
      </w:pPr>
      <w:r w:rsidRPr="00C563AE">
        <w:rPr>
          <w:rFonts w:ascii="Arial" w:hAnsi="Arial"/>
          <w:lang w:val="en-US"/>
        </w:rPr>
        <w:t xml:space="preserve">A privacy statement on the website (Can be personalised but must be approved by Data Protection Officer and Head of Research Ethics). </w:t>
      </w:r>
    </w:p>
    <w:p w:rsidR="00C563AE" w:rsidRPr="00C563AE" w:rsidRDefault="00C563AE" w:rsidP="00C563AE">
      <w:pPr>
        <w:pStyle w:val="ListParagraph"/>
        <w:numPr>
          <w:ilvl w:val="0"/>
          <w:numId w:val="4"/>
        </w:numPr>
        <w:spacing w:after="0"/>
        <w:rPr>
          <w:rFonts w:ascii="Arial" w:hAnsi="Arial"/>
          <w:lang w:val="en-US"/>
        </w:rPr>
      </w:pPr>
      <w:r>
        <w:rPr>
          <w:rFonts w:ascii="Arial" w:hAnsi="Arial"/>
          <w:lang w:val="en-US"/>
        </w:rPr>
        <w:t xml:space="preserve">Posters in waiting areas, laboratories and interview rooms, etc., used by research participants. </w:t>
      </w:r>
    </w:p>
    <w:p w:rsidR="00C563AE" w:rsidRDefault="00C563AE" w:rsidP="00AF3DFA">
      <w:pPr>
        <w:spacing w:after="0"/>
        <w:rPr>
          <w:rFonts w:ascii="Arial" w:hAnsi="Arial"/>
          <w:lang w:val="en-US"/>
        </w:rPr>
      </w:pPr>
      <w:r>
        <w:rPr>
          <w:rFonts w:ascii="Arial" w:hAnsi="Arial"/>
          <w:lang w:val="en-US"/>
        </w:rPr>
        <w:t>3.</w:t>
      </w:r>
      <w:r w:rsidRPr="00C563AE">
        <w:rPr>
          <w:rFonts w:ascii="Arial" w:hAnsi="Arial"/>
          <w:b/>
          <w:lang w:val="en-US"/>
        </w:rPr>
        <w:t xml:space="preserve"> Study Specific Information</w:t>
      </w:r>
    </w:p>
    <w:p w:rsidR="00C563AE" w:rsidRDefault="002872C6" w:rsidP="004F6A6B">
      <w:pPr>
        <w:spacing w:after="0"/>
        <w:rPr>
          <w:rFonts w:ascii="Arial" w:hAnsi="Arial"/>
          <w:lang w:val="en-US"/>
        </w:rPr>
      </w:pPr>
      <w:r>
        <w:rPr>
          <w:rFonts w:ascii="Arial" w:hAnsi="Arial"/>
          <w:lang w:val="en-US"/>
        </w:rPr>
        <w:t>Participant information sheets</w:t>
      </w:r>
      <w:r w:rsidR="00B532BA">
        <w:rPr>
          <w:rFonts w:ascii="Arial" w:hAnsi="Arial"/>
          <w:lang w:val="en-US"/>
        </w:rPr>
        <w:t xml:space="preserve"> or equivalent statements with</w:t>
      </w:r>
      <w:r w:rsidR="004F6A6B">
        <w:rPr>
          <w:rFonts w:ascii="Arial" w:hAnsi="Arial"/>
          <w:lang w:val="en-US"/>
        </w:rPr>
        <w:t xml:space="preserve"> the contents required under the Act </w:t>
      </w:r>
      <w:r>
        <w:rPr>
          <w:rFonts w:ascii="Arial" w:hAnsi="Arial"/>
          <w:lang w:val="en-US"/>
        </w:rPr>
        <w:t>(</w:t>
      </w:r>
      <w:r w:rsidR="004F6A6B">
        <w:rPr>
          <w:rFonts w:ascii="Arial" w:hAnsi="Arial"/>
          <w:lang w:val="en-US"/>
        </w:rPr>
        <w:t xml:space="preserve">see </w:t>
      </w:r>
      <w:r>
        <w:rPr>
          <w:rFonts w:ascii="Arial" w:hAnsi="Arial"/>
          <w:lang w:val="en-US"/>
        </w:rPr>
        <w:t xml:space="preserve">Appendix 1) and consent forms. Under the Act researchers must ensure that the language used in such documents are plain English and where necessary designed to suit the age/cognitive capacity of the research participants. </w:t>
      </w:r>
    </w:p>
    <w:p w:rsidR="00A110FC" w:rsidRDefault="00A110FC" w:rsidP="00AF3DFA">
      <w:pPr>
        <w:spacing w:after="0"/>
        <w:rPr>
          <w:rFonts w:ascii="Arial" w:hAnsi="Arial"/>
          <w:b/>
          <w:lang w:val="en-US"/>
        </w:rPr>
      </w:pPr>
    </w:p>
    <w:p w:rsidR="004F6A6B" w:rsidRDefault="004F6A6B" w:rsidP="00AF3DFA">
      <w:pPr>
        <w:spacing w:after="0"/>
        <w:rPr>
          <w:rFonts w:ascii="Arial" w:hAnsi="Arial"/>
          <w:b/>
          <w:lang w:val="en-US"/>
        </w:rPr>
      </w:pPr>
      <w:r>
        <w:rPr>
          <w:rFonts w:ascii="Arial" w:hAnsi="Arial"/>
          <w:b/>
          <w:lang w:val="en-US"/>
        </w:rPr>
        <w:t xml:space="preserve">Participants Rights to Withdraw Data </w:t>
      </w:r>
    </w:p>
    <w:p w:rsidR="004F6A6B" w:rsidRDefault="004F6A6B" w:rsidP="00AF3DFA">
      <w:pPr>
        <w:spacing w:after="0"/>
        <w:rPr>
          <w:rFonts w:ascii="Arial" w:hAnsi="Arial"/>
          <w:lang w:val="en-US"/>
        </w:rPr>
      </w:pPr>
      <w:r>
        <w:rPr>
          <w:rFonts w:ascii="Arial" w:hAnsi="Arial"/>
          <w:lang w:val="en-US"/>
        </w:rPr>
        <w:t>The Act specifies that existing good ethical practices should be maintained</w:t>
      </w:r>
      <w:r w:rsidR="00B450C5">
        <w:rPr>
          <w:rFonts w:ascii="Arial" w:hAnsi="Arial"/>
          <w:lang w:val="en-US"/>
        </w:rPr>
        <w:t xml:space="preserve"> so this means in studies where data is not collected anonymously, participants will still have the right to withdraw their data up until the time specified in the Information Sheet (usually two weeks).  </w:t>
      </w:r>
    </w:p>
    <w:p w:rsidR="00B450C5" w:rsidRDefault="00B450C5" w:rsidP="00AF3DFA">
      <w:pPr>
        <w:spacing w:after="0"/>
        <w:rPr>
          <w:rFonts w:ascii="Arial" w:hAnsi="Arial"/>
          <w:lang w:val="en-US"/>
        </w:rPr>
      </w:pPr>
    </w:p>
    <w:p w:rsidR="002B7EB2" w:rsidRDefault="002B7EB2" w:rsidP="00A110FC">
      <w:pPr>
        <w:spacing w:after="0"/>
        <w:rPr>
          <w:rFonts w:ascii="Arial" w:hAnsi="Arial"/>
          <w:lang w:val="en-US"/>
        </w:rPr>
      </w:pPr>
      <w:r>
        <w:rPr>
          <w:rFonts w:ascii="Arial" w:hAnsi="Arial"/>
          <w:lang w:val="en-US"/>
        </w:rPr>
        <w:t>Some of the data rights specified under the Act do not apply to the withdrawal of research data</w:t>
      </w:r>
      <w:r w:rsidR="007F691E">
        <w:rPr>
          <w:rFonts w:ascii="Arial" w:hAnsi="Arial"/>
          <w:lang w:val="en-US"/>
        </w:rPr>
        <w:t xml:space="preserve"> if safeguards as specified earlier are in place</w:t>
      </w:r>
      <w:r>
        <w:rPr>
          <w:rFonts w:ascii="Arial" w:hAnsi="Arial"/>
          <w:lang w:val="en-US"/>
        </w:rPr>
        <w:t xml:space="preserve">. </w:t>
      </w:r>
      <w:r w:rsidRPr="002B7EB2">
        <w:rPr>
          <w:rFonts w:ascii="Arial" w:hAnsi="Arial"/>
          <w:lang w:val="en-US"/>
        </w:rPr>
        <w:t xml:space="preserve">These </w:t>
      </w:r>
      <w:r w:rsidR="00BE4A01" w:rsidRPr="002B7EB2">
        <w:rPr>
          <w:rFonts w:ascii="Arial" w:hAnsi="Arial"/>
          <w:lang w:val="en-US"/>
        </w:rPr>
        <w:t>are:</w:t>
      </w:r>
    </w:p>
    <w:p w:rsidR="002B7EB2" w:rsidRDefault="002B7EB2" w:rsidP="00A110FC">
      <w:pPr>
        <w:spacing w:after="0"/>
        <w:rPr>
          <w:rFonts w:ascii="Arial" w:hAnsi="Arial"/>
          <w:lang w:val="en-US"/>
        </w:rPr>
      </w:pPr>
      <w:r>
        <w:rPr>
          <w:rFonts w:ascii="Arial" w:hAnsi="Arial"/>
          <w:lang w:val="en-US"/>
        </w:rPr>
        <w:t>i) The right of the research participant to access the data they have provided</w:t>
      </w:r>
    </w:p>
    <w:p w:rsidR="002B7EB2" w:rsidRDefault="002B7EB2" w:rsidP="00A110FC">
      <w:pPr>
        <w:spacing w:after="0"/>
        <w:rPr>
          <w:rFonts w:ascii="Arial" w:hAnsi="Arial"/>
          <w:lang w:val="en-US"/>
        </w:rPr>
      </w:pPr>
      <w:r>
        <w:rPr>
          <w:rFonts w:ascii="Arial" w:hAnsi="Arial"/>
          <w:lang w:val="en-US"/>
        </w:rPr>
        <w:t>ii) The right to rectify such data</w:t>
      </w:r>
    </w:p>
    <w:p w:rsidR="002B7EB2" w:rsidRDefault="002B7EB2" w:rsidP="00A110FC">
      <w:pPr>
        <w:spacing w:after="0"/>
        <w:rPr>
          <w:rFonts w:ascii="Arial" w:hAnsi="Arial"/>
          <w:lang w:val="en-US"/>
        </w:rPr>
      </w:pPr>
      <w:r>
        <w:rPr>
          <w:rFonts w:ascii="Arial" w:hAnsi="Arial"/>
          <w:lang w:val="en-US"/>
        </w:rPr>
        <w:t>iii) The right to restrict processing</w:t>
      </w:r>
    </w:p>
    <w:p w:rsidR="007F691E" w:rsidRDefault="00BE4A01" w:rsidP="00A110FC">
      <w:pPr>
        <w:spacing w:after="0"/>
        <w:rPr>
          <w:rFonts w:ascii="Arial" w:hAnsi="Arial"/>
          <w:lang w:val="en-US"/>
        </w:rPr>
      </w:pPr>
      <w:r>
        <w:rPr>
          <w:rFonts w:ascii="Arial" w:hAnsi="Arial"/>
          <w:lang w:val="en-US"/>
        </w:rPr>
        <w:t>iv)</w:t>
      </w:r>
      <w:r w:rsidR="002B7EB2">
        <w:rPr>
          <w:rFonts w:ascii="Arial" w:hAnsi="Arial"/>
          <w:lang w:val="en-US"/>
        </w:rPr>
        <w:t xml:space="preserve"> The </w:t>
      </w:r>
      <w:r w:rsidR="007F691E">
        <w:rPr>
          <w:rFonts w:ascii="Arial" w:hAnsi="Arial"/>
          <w:lang w:val="en-US"/>
        </w:rPr>
        <w:t xml:space="preserve">right to object to processing.  </w:t>
      </w:r>
    </w:p>
    <w:p w:rsidR="007F691E" w:rsidRPr="00C17674" w:rsidRDefault="007F691E" w:rsidP="00A110FC">
      <w:pPr>
        <w:spacing w:after="0"/>
        <w:rPr>
          <w:rFonts w:ascii="Arial" w:hAnsi="Arial"/>
          <w:b/>
          <w:lang w:val="en-US"/>
        </w:rPr>
      </w:pPr>
      <w:r w:rsidRPr="00C17674">
        <w:rPr>
          <w:rFonts w:ascii="Arial" w:hAnsi="Arial"/>
          <w:b/>
          <w:lang w:val="en-US"/>
        </w:rPr>
        <w:t>These limitations to rights only apply where application would "prevent or seriously impair the aims of the research."</w:t>
      </w:r>
    </w:p>
    <w:p w:rsidR="002B7EB2" w:rsidRDefault="007F691E" w:rsidP="00A110FC">
      <w:pPr>
        <w:spacing w:after="0"/>
        <w:rPr>
          <w:rFonts w:ascii="Arial" w:hAnsi="Arial"/>
          <w:b/>
          <w:lang w:val="en-US"/>
        </w:rPr>
      </w:pPr>
      <w:r>
        <w:rPr>
          <w:rFonts w:ascii="Arial" w:hAnsi="Arial"/>
          <w:lang w:val="en-US"/>
        </w:rPr>
        <w:t xml:space="preserve">The Data Controller (typically the research sponsor) is responsible for making such a claim. </w:t>
      </w:r>
    </w:p>
    <w:p w:rsidR="007F691E" w:rsidRPr="007F691E" w:rsidRDefault="007F691E" w:rsidP="007F691E">
      <w:pPr>
        <w:spacing w:after="0"/>
        <w:rPr>
          <w:rFonts w:ascii="Arial" w:hAnsi="Arial"/>
          <w:lang w:val="en-US"/>
        </w:rPr>
      </w:pPr>
      <w:r w:rsidRPr="007F691E">
        <w:rPr>
          <w:rFonts w:ascii="Arial" w:hAnsi="Arial"/>
          <w:lang w:val="en-US"/>
        </w:rPr>
        <w:t>If a research participant wish</w:t>
      </w:r>
      <w:r>
        <w:rPr>
          <w:rFonts w:ascii="Arial" w:hAnsi="Arial"/>
          <w:lang w:val="en-US"/>
        </w:rPr>
        <w:t>es</w:t>
      </w:r>
      <w:r w:rsidRPr="007F691E">
        <w:rPr>
          <w:rFonts w:ascii="Arial" w:hAnsi="Arial"/>
          <w:lang w:val="en-US"/>
        </w:rPr>
        <w:t xml:space="preserve"> to </w:t>
      </w:r>
      <w:r>
        <w:rPr>
          <w:rFonts w:ascii="Arial" w:hAnsi="Arial"/>
          <w:lang w:val="en-US"/>
        </w:rPr>
        <w:t xml:space="preserve">exercise their wider rights under GDPR, the advice of the </w:t>
      </w:r>
      <w:r w:rsidRPr="007F691E">
        <w:rPr>
          <w:rFonts w:ascii="Arial" w:hAnsi="Arial"/>
        </w:rPr>
        <w:t xml:space="preserve">University Information Officer at </w:t>
      </w:r>
      <w:hyperlink r:id="rId11" w:history="1">
        <w:r w:rsidRPr="007F691E">
          <w:rPr>
            <w:rStyle w:val="Hyperlink"/>
            <w:rFonts w:ascii="Arial" w:hAnsi="Arial"/>
          </w:rPr>
          <w:t>DPO@shu.ac.uk</w:t>
        </w:r>
      </w:hyperlink>
      <w:r>
        <w:rPr>
          <w:rFonts w:ascii="Arial" w:hAnsi="Arial"/>
          <w:lang w:val="en-US"/>
        </w:rPr>
        <w:t xml:space="preserve"> must be sought. </w:t>
      </w:r>
    </w:p>
    <w:p w:rsidR="002B7EB2" w:rsidRPr="007F691E" w:rsidRDefault="002B7EB2" w:rsidP="00A110FC">
      <w:pPr>
        <w:spacing w:after="0"/>
        <w:rPr>
          <w:rFonts w:ascii="Arial" w:hAnsi="Arial"/>
          <w:lang w:val="en-US"/>
        </w:rPr>
      </w:pPr>
    </w:p>
    <w:p w:rsidR="007F691E" w:rsidRPr="007F691E" w:rsidRDefault="007F691E" w:rsidP="00A110FC">
      <w:pPr>
        <w:spacing w:after="0"/>
        <w:rPr>
          <w:rFonts w:ascii="Arial" w:hAnsi="Arial"/>
          <w:b/>
          <w:lang w:val="en-US"/>
        </w:rPr>
      </w:pPr>
      <w:r w:rsidRPr="007F691E">
        <w:rPr>
          <w:rFonts w:ascii="Arial" w:hAnsi="Arial"/>
          <w:b/>
          <w:lang w:val="en-US"/>
        </w:rPr>
        <w:t>International Research</w:t>
      </w:r>
    </w:p>
    <w:p w:rsidR="007F691E" w:rsidRPr="007F691E" w:rsidRDefault="007F691E" w:rsidP="00A110FC">
      <w:pPr>
        <w:spacing w:after="0"/>
        <w:rPr>
          <w:rFonts w:ascii="Arial" w:hAnsi="Arial"/>
          <w:i/>
          <w:lang w:val="en-US"/>
        </w:rPr>
      </w:pPr>
    </w:p>
    <w:p w:rsidR="00A110FC" w:rsidRPr="004F6A6B" w:rsidRDefault="00A110FC" w:rsidP="00A110FC">
      <w:pPr>
        <w:spacing w:after="0"/>
        <w:rPr>
          <w:rFonts w:ascii="Arial" w:hAnsi="Arial"/>
          <w:lang w:val="en-US"/>
        </w:rPr>
      </w:pPr>
      <w:r w:rsidRPr="004F6A6B">
        <w:rPr>
          <w:rFonts w:ascii="Arial" w:hAnsi="Arial"/>
          <w:lang w:val="en-US"/>
        </w:rPr>
        <w:t xml:space="preserve">There are specific requirements </w:t>
      </w:r>
      <w:r w:rsidR="007F691E">
        <w:rPr>
          <w:rFonts w:ascii="Arial" w:hAnsi="Arial"/>
          <w:lang w:val="en-US"/>
        </w:rPr>
        <w:t xml:space="preserve">to meet if </w:t>
      </w:r>
      <w:r w:rsidRPr="004F6A6B">
        <w:rPr>
          <w:rFonts w:ascii="Arial" w:hAnsi="Arial"/>
          <w:lang w:val="en-US"/>
        </w:rPr>
        <w:t xml:space="preserve">personal data </w:t>
      </w:r>
      <w:r w:rsidR="007F691E">
        <w:rPr>
          <w:rFonts w:ascii="Arial" w:hAnsi="Arial"/>
          <w:lang w:val="en-US"/>
        </w:rPr>
        <w:t>is to</w:t>
      </w:r>
      <w:r w:rsidR="007E59D3">
        <w:rPr>
          <w:rFonts w:ascii="Arial" w:hAnsi="Arial"/>
          <w:lang w:val="en-US"/>
        </w:rPr>
        <w:t xml:space="preserve"> be</w:t>
      </w:r>
      <w:r w:rsidR="007F691E">
        <w:rPr>
          <w:rFonts w:ascii="Arial" w:hAnsi="Arial"/>
          <w:lang w:val="en-US"/>
        </w:rPr>
        <w:t xml:space="preserve"> transferred </w:t>
      </w:r>
      <w:r w:rsidRPr="004F6A6B">
        <w:rPr>
          <w:rFonts w:ascii="Arial" w:hAnsi="Arial"/>
          <w:lang w:val="en-US"/>
        </w:rPr>
        <w:t>to non-EU countries.</w:t>
      </w:r>
      <w:r w:rsidR="007F691E">
        <w:rPr>
          <w:rFonts w:ascii="Arial" w:hAnsi="Arial"/>
          <w:lang w:val="en-US"/>
        </w:rPr>
        <w:t xml:space="preserve"> A</w:t>
      </w:r>
      <w:r w:rsidRPr="004F6A6B">
        <w:rPr>
          <w:rFonts w:ascii="Arial" w:hAnsi="Arial"/>
          <w:lang w:val="en-US"/>
        </w:rPr>
        <w:t xml:space="preserve">dvice </w:t>
      </w:r>
      <w:r w:rsidR="007F691E">
        <w:rPr>
          <w:rFonts w:ascii="Arial" w:hAnsi="Arial"/>
          <w:lang w:val="en-US"/>
        </w:rPr>
        <w:t>must be sought from the</w:t>
      </w:r>
      <w:r w:rsidRPr="004F6A6B">
        <w:rPr>
          <w:rFonts w:ascii="Arial" w:hAnsi="Arial"/>
          <w:lang w:val="en-US"/>
        </w:rPr>
        <w:t xml:space="preserve"> Data Protection Officer</w:t>
      </w:r>
      <w:r w:rsidR="00631E90">
        <w:rPr>
          <w:rFonts w:ascii="Arial" w:hAnsi="Arial"/>
          <w:lang w:val="en-US"/>
        </w:rPr>
        <w:t xml:space="preserve"> and further guidance will be produced</w:t>
      </w:r>
      <w:r w:rsidR="00BE4A01">
        <w:rPr>
          <w:rFonts w:ascii="Arial" w:hAnsi="Arial"/>
          <w:lang w:val="en-US"/>
        </w:rPr>
        <w:t>.</w:t>
      </w:r>
    </w:p>
    <w:p w:rsidR="00A110FC" w:rsidRDefault="00A110FC" w:rsidP="00AF3DFA">
      <w:pPr>
        <w:spacing w:after="0"/>
        <w:rPr>
          <w:rFonts w:ascii="Arial" w:hAnsi="Arial"/>
          <w:b/>
          <w:lang w:val="en-US"/>
        </w:rPr>
      </w:pPr>
    </w:p>
    <w:p w:rsidR="00631E90" w:rsidRDefault="00631E90" w:rsidP="00AF3DFA">
      <w:pPr>
        <w:spacing w:after="0"/>
        <w:rPr>
          <w:rFonts w:ascii="Arial" w:hAnsi="Arial"/>
          <w:b/>
          <w:lang w:val="en-US"/>
        </w:rPr>
      </w:pPr>
      <w:r>
        <w:rPr>
          <w:rFonts w:ascii="Arial" w:hAnsi="Arial"/>
          <w:b/>
          <w:lang w:val="en-US"/>
        </w:rPr>
        <w:t>Penalties for Non-compliance</w:t>
      </w:r>
      <w:r w:rsidR="00ED2A7D">
        <w:rPr>
          <w:rFonts w:ascii="Arial" w:hAnsi="Arial"/>
          <w:b/>
          <w:lang w:val="en-US"/>
        </w:rPr>
        <w:t xml:space="preserve"> with GDPR</w:t>
      </w:r>
    </w:p>
    <w:p w:rsidR="00ED2A7D" w:rsidRPr="00ED2A7D" w:rsidRDefault="00ED2A7D" w:rsidP="00AF3DFA">
      <w:pPr>
        <w:spacing w:after="0"/>
        <w:rPr>
          <w:rFonts w:ascii="Arial" w:hAnsi="Arial"/>
          <w:lang w:val="en-US"/>
        </w:rPr>
      </w:pPr>
      <w:r>
        <w:rPr>
          <w:rFonts w:ascii="Arial" w:hAnsi="Arial"/>
          <w:lang w:val="en-US"/>
        </w:rPr>
        <w:t xml:space="preserve">The ICO have a range of </w:t>
      </w:r>
      <w:r w:rsidR="00BE4A01">
        <w:rPr>
          <w:rFonts w:ascii="Arial" w:hAnsi="Arial"/>
          <w:lang w:val="en-US"/>
        </w:rPr>
        <w:t>options</w:t>
      </w:r>
      <w:r>
        <w:rPr>
          <w:rFonts w:ascii="Arial" w:hAnsi="Arial"/>
          <w:lang w:val="en-US"/>
        </w:rPr>
        <w:t xml:space="preserve"> depending on the severity of the breach</w:t>
      </w:r>
    </w:p>
    <w:p w:rsidR="00ED2A7D" w:rsidRPr="00ED2A7D" w:rsidRDefault="00ED2A7D" w:rsidP="00ED2A7D">
      <w:pPr>
        <w:spacing w:after="0"/>
        <w:ind w:left="360"/>
        <w:rPr>
          <w:rFonts w:ascii="Arial" w:hAnsi="Arial"/>
        </w:rPr>
      </w:pPr>
      <w:r w:rsidRPr="00ED2A7D">
        <w:rPr>
          <w:rFonts w:ascii="Arial" w:hAnsi="Arial"/>
        </w:rPr>
        <w:t>1) Up to €10 million, or 2% annual global turnover – whichever is higher.</w:t>
      </w:r>
    </w:p>
    <w:p w:rsidR="00ED2A7D" w:rsidRPr="00ED2A7D" w:rsidRDefault="00ED2A7D" w:rsidP="00ED2A7D">
      <w:pPr>
        <w:spacing w:after="0"/>
        <w:ind w:left="360"/>
        <w:rPr>
          <w:rFonts w:ascii="Arial" w:hAnsi="Arial"/>
        </w:rPr>
      </w:pPr>
      <w:r w:rsidRPr="00ED2A7D">
        <w:rPr>
          <w:rFonts w:ascii="Arial" w:hAnsi="Arial"/>
        </w:rPr>
        <w:t>2) Up to €20 million, or 4% annual global turnover – whichever is higher.</w:t>
      </w:r>
    </w:p>
    <w:p w:rsidR="00631E90" w:rsidRDefault="00631E90" w:rsidP="00AF3DFA">
      <w:pPr>
        <w:spacing w:after="0"/>
        <w:rPr>
          <w:rFonts w:ascii="Arial" w:hAnsi="Arial"/>
          <w:lang w:val="en-US"/>
        </w:rPr>
      </w:pPr>
    </w:p>
    <w:p w:rsidR="00631E90" w:rsidRDefault="00631E90" w:rsidP="00AF3DFA">
      <w:pPr>
        <w:spacing w:after="0"/>
        <w:rPr>
          <w:rFonts w:ascii="Arial" w:hAnsi="Arial"/>
          <w:b/>
          <w:lang w:val="en-US"/>
        </w:rPr>
      </w:pPr>
      <w:r w:rsidRPr="00631E90">
        <w:rPr>
          <w:rFonts w:ascii="Arial" w:hAnsi="Arial"/>
          <w:b/>
          <w:lang w:val="en-US"/>
        </w:rPr>
        <w:t>Further Information</w:t>
      </w:r>
    </w:p>
    <w:p w:rsidR="00631E90" w:rsidRDefault="00631E90" w:rsidP="00AF3DFA">
      <w:pPr>
        <w:spacing w:after="0"/>
        <w:rPr>
          <w:rStyle w:val="Hyperlink"/>
          <w:rFonts w:ascii="Arial" w:hAnsi="Arial"/>
          <w:lang w:val="en-US"/>
        </w:rPr>
      </w:pPr>
      <w:r>
        <w:rPr>
          <w:rFonts w:ascii="Arial" w:hAnsi="Arial"/>
          <w:lang w:val="en-US"/>
        </w:rPr>
        <w:t>SHU Governance Services &gt;</w:t>
      </w:r>
      <w:hyperlink r:id="rId12" w:history="1">
        <w:r w:rsidRPr="008E7191">
          <w:rPr>
            <w:rStyle w:val="Hyperlink"/>
            <w:rFonts w:ascii="Arial" w:hAnsi="Arial"/>
            <w:lang w:val="en-US"/>
          </w:rPr>
          <w:t>https://portal.shu.ac.uk/sites/GovernanceServices/SitePages/General%20Data%20Protection%20Regulation%20(GDPR).aspx</w:t>
        </w:r>
      </w:hyperlink>
    </w:p>
    <w:p w:rsidR="0022702D" w:rsidRPr="0022702D" w:rsidRDefault="0022702D" w:rsidP="0022702D">
      <w:pPr>
        <w:rPr>
          <w:rFonts w:cs="Times New Roman"/>
          <w:color w:val="1F497D"/>
        </w:rPr>
      </w:pPr>
      <w:r>
        <w:rPr>
          <w:rStyle w:val="Hyperlink"/>
          <w:rFonts w:ascii="Arial" w:hAnsi="Arial"/>
          <w:lang w:val="en-US"/>
        </w:rPr>
        <w:t xml:space="preserve">  </w:t>
      </w:r>
      <w:hyperlink r:id="rId13" w:history="1">
        <w:r w:rsidRPr="0022702D">
          <w:rPr>
            <w:rFonts w:cs="Times New Roman"/>
            <w:color w:val="0000FF"/>
            <w:u w:val="single"/>
          </w:rPr>
          <w:t>https://www.shu.ac.uk/about-this-website/privacy-policy/privacy-notices/privacy-notice-for-research</w:t>
        </w:r>
      </w:hyperlink>
    </w:p>
    <w:p w:rsidR="00ED2A7D" w:rsidRDefault="00ED2A7D" w:rsidP="00AF3DFA">
      <w:pPr>
        <w:spacing w:after="0"/>
        <w:rPr>
          <w:rStyle w:val="Hyperlink"/>
          <w:rFonts w:ascii="Arial" w:hAnsi="Arial"/>
          <w:lang w:val="en-US"/>
        </w:rPr>
      </w:pPr>
      <w:bookmarkStart w:id="0" w:name="_GoBack"/>
      <w:bookmarkEnd w:id="0"/>
    </w:p>
    <w:p w:rsidR="00884940" w:rsidRDefault="00BE4A01" w:rsidP="00AF3DFA">
      <w:pPr>
        <w:spacing w:after="0"/>
        <w:rPr>
          <w:rFonts w:ascii="Arial" w:hAnsi="Arial"/>
          <w:lang w:val="en-US"/>
        </w:rPr>
      </w:pPr>
      <w:r>
        <w:rPr>
          <w:rFonts w:ascii="Arial" w:hAnsi="Arial"/>
          <w:lang w:val="en-US"/>
        </w:rPr>
        <w:t>Ann Macaskill &amp; Helen Williamson, 18</w:t>
      </w:r>
      <w:r w:rsidRPr="00BE4A01">
        <w:rPr>
          <w:rFonts w:ascii="Arial" w:hAnsi="Arial"/>
          <w:vertAlign w:val="superscript"/>
          <w:lang w:val="en-US"/>
        </w:rPr>
        <w:t>th</w:t>
      </w:r>
      <w:r>
        <w:rPr>
          <w:rFonts w:ascii="Arial" w:hAnsi="Arial"/>
          <w:lang w:val="en-US"/>
        </w:rPr>
        <w:t xml:space="preserve"> May 2018 </w:t>
      </w:r>
    </w:p>
    <w:p w:rsidR="00884940" w:rsidRDefault="00884940" w:rsidP="00AF3DFA">
      <w:pPr>
        <w:spacing w:after="0"/>
        <w:rPr>
          <w:rFonts w:ascii="Arial" w:hAnsi="Arial"/>
          <w:lang w:val="en-US"/>
        </w:rPr>
      </w:pPr>
    </w:p>
    <w:p w:rsidR="00631E90" w:rsidRPr="00631E90" w:rsidRDefault="00631E90" w:rsidP="00AF3DFA">
      <w:pPr>
        <w:spacing w:after="0"/>
        <w:rPr>
          <w:rFonts w:ascii="Arial" w:hAnsi="Arial"/>
          <w:lang w:val="en-US"/>
        </w:rPr>
      </w:pPr>
    </w:p>
    <w:p w:rsidR="00FF2203" w:rsidRPr="004A5DD4" w:rsidRDefault="00FF2203" w:rsidP="00AF3DFA">
      <w:pPr>
        <w:spacing w:after="0"/>
        <w:rPr>
          <w:rFonts w:ascii="Arial" w:hAnsi="Arial"/>
        </w:rPr>
      </w:pPr>
    </w:p>
    <w:sectPr w:rsidR="00FF2203" w:rsidRPr="004A5DD4" w:rsidSect="00B532BA">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FA" w:rsidRDefault="00AF3DFA" w:rsidP="00AF3DFA">
      <w:pPr>
        <w:spacing w:after="0" w:line="240" w:lineRule="auto"/>
      </w:pPr>
      <w:r>
        <w:separator/>
      </w:r>
    </w:p>
  </w:endnote>
  <w:endnote w:type="continuationSeparator" w:id="0">
    <w:p w:rsidR="00AF3DFA" w:rsidRDefault="00AF3DFA" w:rsidP="00AF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FA" w:rsidRDefault="00AF3DFA" w:rsidP="00AF3DFA">
      <w:pPr>
        <w:spacing w:after="0" w:line="240" w:lineRule="auto"/>
      </w:pPr>
      <w:r>
        <w:separator/>
      </w:r>
    </w:p>
  </w:footnote>
  <w:footnote w:type="continuationSeparator" w:id="0">
    <w:p w:rsidR="00AF3DFA" w:rsidRDefault="00AF3DFA" w:rsidP="00AF3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731473"/>
      <w:docPartObj>
        <w:docPartGallery w:val="Page Numbers (Top of Page)"/>
        <w:docPartUnique/>
      </w:docPartObj>
    </w:sdtPr>
    <w:sdtEndPr>
      <w:rPr>
        <w:noProof/>
      </w:rPr>
    </w:sdtEndPr>
    <w:sdtContent>
      <w:p w:rsidR="00C17674" w:rsidRDefault="00C17674">
        <w:pPr>
          <w:pStyle w:val="Header"/>
          <w:jc w:val="right"/>
        </w:pPr>
        <w:r>
          <w:fldChar w:fldCharType="begin"/>
        </w:r>
        <w:r>
          <w:instrText xml:space="preserve"> PAGE   \* MERGEFORMAT </w:instrText>
        </w:r>
        <w:r>
          <w:fldChar w:fldCharType="separate"/>
        </w:r>
        <w:r w:rsidR="0022702D">
          <w:rPr>
            <w:noProof/>
          </w:rPr>
          <w:t>4</w:t>
        </w:r>
        <w:r>
          <w:rPr>
            <w:noProof/>
          </w:rPr>
          <w:fldChar w:fldCharType="end"/>
        </w:r>
      </w:p>
    </w:sdtContent>
  </w:sdt>
  <w:p w:rsidR="00AF3DFA" w:rsidRDefault="00AF3DFA" w:rsidP="00AF3DF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4FC7"/>
    <w:multiLevelType w:val="multilevel"/>
    <w:tmpl w:val="9930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7D5174"/>
    <w:multiLevelType w:val="hybridMultilevel"/>
    <w:tmpl w:val="14045D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7E17DB"/>
    <w:multiLevelType w:val="multilevel"/>
    <w:tmpl w:val="D6E8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894E75"/>
    <w:multiLevelType w:val="multilevel"/>
    <w:tmpl w:val="5EF0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7B42E7"/>
    <w:multiLevelType w:val="multilevel"/>
    <w:tmpl w:val="9774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FA"/>
    <w:rsid w:val="00033616"/>
    <w:rsid w:val="00072320"/>
    <w:rsid w:val="000B63CE"/>
    <w:rsid w:val="000C069E"/>
    <w:rsid w:val="000E05BB"/>
    <w:rsid w:val="0015634B"/>
    <w:rsid w:val="002140ED"/>
    <w:rsid w:val="0022702D"/>
    <w:rsid w:val="002441FA"/>
    <w:rsid w:val="00282F1A"/>
    <w:rsid w:val="002872C6"/>
    <w:rsid w:val="0028730D"/>
    <w:rsid w:val="002A6CA5"/>
    <w:rsid w:val="002B7EB2"/>
    <w:rsid w:val="00360C2C"/>
    <w:rsid w:val="0036110A"/>
    <w:rsid w:val="004139A3"/>
    <w:rsid w:val="004A5DD4"/>
    <w:rsid w:val="004C087A"/>
    <w:rsid w:val="004C6411"/>
    <w:rsid w:val="004F04B2"/>
    <w:rsid w:val="004F1881"/>
    <w:rsid w:val="004F6A6B"/>
    <w:rsid w:val="00577CBD"/>
    <w:rsid w:val="00584281"/>
    <w:rsid w:val="005A3C42"/>
    <w:rsid w:val="005E76ED"/>
    <w:rsid w:val="00631E90"/>
    <w:rsid w:val="006368F5"/>
    <w:rsid w:val="00672BFE"/>
    <w:rsid w:val="006A55B8"/>
    <w:rsid w:val="006B2F73"/>
    <w:rsid w:val="006E4197"/>
    <w:rsid w:val="00734249"/>
    <w:rsid w:val="007510F6"/>
    <w:rsid w:val="00755F25"/>
    <w:rsid w:val="0077520E"/>
    <w:rsid w:val="007A2356"/>
    <w:rsid w:val="007A5EE4"/>
    <w:rsid w:val="007D0BFE"/>
    <w:rsid w:val="007E59D3"/>
    <w:rsid w:val="007E7483"/>
    <w:rsid w:val="007F691E"/>
    <w:rsid w:val="00872AF1"/>
    <w:rsid w:val="0087366D"/>
    <w:rsid w:val="00884940"/>
    <w:rsid w:val="008C7CE5"/>
    <w:rsid w:val="008D7784"/>
    <w:rsid w:val="008E0A69"/>
    <w:rsid w:val="008F28C9"/>
    <w:rsid w:val="00901C12"/>
    <w:rsid w:val="0092331E"/>
    <w:rsid w:val="009805DA"/>
    <w:rsid w:val="009E0839"/>
    <w:rsid w:val="009E4D58"/>
    <w:rsid w:val="009F6029"/>
    <w:rsid w:val="00A05E8A"/>
    <w:rsid w:val="00A102AE"/>
    <w:rsid w:val="00A110FC"/>
    <w:rsid w:val="00A40113"/>
    <w:rsid w:val="00A40122"/>
    <w:rsid w:val="00A415CF"/>
    <w:rsid w:val="00A46E9E"/>
    <w:rsid w:val="00A525BD"/>
    <w:rsid w:val="00A8566B"/>
    <w:rsid w:val="00AF3DFA"/>
    <w:rsid w:val="00B23E6F"/>
    <w:rsid w:val="00B450C5"/>
    <w:rsid w:val="00B532BA"/>
    <w:rsid w:val="00B62917"/>
    <w:rsid w:val="00B62F27"/>
    <w:rsid w:val="00B833A2"/>
    <w:rsid w:val="00B93516"/>
    <w:rsid w:val="00BB245E"/>
    <w:rsid w:val="00BD43CF"/>
    <w:rsid w:val="00BE4A01"/>
    <w:rsid w:val="00BF3BB6"/>
    <w:rsid w:val="00C17674"/>
    <w:rsid w:val="00C366DE"/>
    <w:rsid w:val="00C563AE"/>
    <w:rsid w:val="00CD039E"/>
    <w:rsid w:val="00D16067"/>
    <w:rsid w:val="00D32146"/>
    <w:rsid w:val="00D552B5"/>
    <w:rsid w:val="00D93C04"/>
    <w:rsid w:val="00DA40F4"/>
    <w:rsid w:val="00DB7C94"/>
    <w:rsid w:val="00DE2823"/>
    <w:rsid w:val="00E74D5C"/>
    <w:rsid w:val="00E80179"/>
    <w:rsid w:val="00EA0814"/>
    <w:rsid w:val="00ED2A7D"/>
    <w:rsid w:val="00EE506F"/>
    <w:rsid w:val="00F719C0"/>
    <w:rsid w:val="00F822ED"/>
    <w:rsid w:val="00F8315B"/>
    <w:rsid w:val="00FC1C64"/>
    <w:rsid w:val="00FF22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3DFA"/>
    <w:rPr>
      <w:color w:val="0000FF"/>
      <w:u w:val="single"/>
    </w:rPr>
  </w:style>
  <w:style w:type="paragraph" w:styleId="Header">
    <w:name w:val="header"/>
    <w:basedOn w:val="Normal"/>
    <w:link w:val="HeaderChar"/>
    <w:uiPriority w:val="99"/>
    <w:unhideWhenUsed/>
    <w:rsid w:val="00AF3DFA"/>
    <w:pPr>
      <w:tabs>
        <w:tab w:val="center" w:pos="4513"/>
        <w:tab w:val="right" w:pos="9026"/>
      </w:tabs>
    </w:pPr>
  </w:style>
  <w:style w:type="character" w:customStyle="1" w:styleId="HeaderChar">
    <w:name w:val="Header Char"/>
    <w:link w:val="Header"/>
    <w:uiPriority w:val="99"/>
    <w:rsid w:val="00AF3DFA"/>
    <w:rPr>
      <w:sz w:val="22"/>
      <w:szCs w:val="22"/>
      <w:lang w:eastAsia="en-US"/>
    </w:rPr>
  </w:style>
  <w:style w:type="paragraph" w:styleId="Footer">
    <w:name w:val="footer"/>
    <w:basedOn w:val="Normal"/>
    <w:link w:val="FooterChar"/>
    <w:uiPriority w:val="99"/>
    <w:unhideWhenUsed/>
    <w:rsid w:val="00AF3DFA"/>
    <w:pPr>
      <w:tabs>
        <w:tab w:val="center" w:pos="4513"/>
        <w:tab w:val="right" w:pos="9026"/>
      </w:tabs>
    </w:pPr>
  </w:style>
  <w:style w:type="character" w:customStyle="1" w:styleId="FooterChar">
    <w:name w:val="Footer Char"/>
    <w:link w:val="Footer"/>
    <w:uiPriority w:val="99"/>
    <w:rsid w:val="00AF3DFA"/>
    <w:rPr>
      <w:sz w:val="22"/>
      <w:szCs w:val="22"/>
      <w:lang w:eastAsia="en-US"/>
    </w:rPr>
  </w:style>
  <w:style w:type="paragraph" w:styleId="BalloonText">
    <w:name w:val="Balloon Text"/>
    <w:basedOn w:val="Normal"/>
    <w:link w:val="BalloonTextChar"/>
    <w:uiPriority w:val="99"/>
    <w:semiHidden/>
    <w:unhideWhenUsed/>
    <w:rsid w:val="00AF3D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DFA"/>
    <w:rPr>
      <w:rFonts w:ascii="Tahoma" w:hAnsi="Tahoma" w:cs="Tahoma"/>
      <w:sz w:val="16"/>
      <w:szCs w:val="16"/>
      <w:lang w:eastAsia="en-US"/>
    </w:rPr>
  </w:style>
  <w:style w:type="character" w:styleId="FollowedHyperlink">
    <w:name w:val="FollowedHyperlink"/>
    <w:uiPriority w:val="99"/>
    <w:semiHidden/>
    <w:unhideWhenUsed/>
    <w:rsid w:val="00AF3DFA"/>
    <w:rPr>
      <w:color w:val="800080"/>
      <w:u w:val="single"/>
    </w:rPr>
  </w:style>
  <w:style w:type="paragraph" w:styleId="NormalWeb">
    <w:name w:val="Normal (Web)"/>
    <w:basedOn w:val="Normal"/>
    <w:uiPriority w:val="99"/>
    <w:semiHidden/>
    <w:unhideWhenUsed/>
    <w:rsid w:val="00AF3DFA"/>
    <w:rPr>
      <w:rFonts w:ascii="Times New Roman" w:hAnsi="Times New Roman" w:cs="Times New Roman"/>
      <w:sz w:val="24"/>
      <w:szCs w:val="24"/>
    </w:rPr>
  </w:style>
  <w:style w:type="table" w:styleId="TableGrid">
    <w:name w:val="Table Grid"/>
    <w:basedOn w:val="TableNormal"/>
    <w:uiPriority w:val="59"/>
    <w:rsid w:val="0028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3AE"/>
    <w:pPr>
      <w:ind w:left="720"/>
      <w:contextualSpacing/>
    </w:pPr>
  </w:style>
  <w:style w:type="character" w:styleId="CommentReference">
    <w:name w:val="annotation reference"/>
    <w:basedOn w:val="DefaultParagraphFont"/>
    <w:uiPriority w:val="99"/>
    <w:semiHidden/>
    <w:unhideWhenUsed/>
    <w:rsid w:val="002872C6"/>
    <w:rPr>
      <w:sz w:val="16"/>
      <w:szCs w:val="16"/>
    </w:rPr>
  </w:style>
  <w:style w:type="paragraph" w:styleId="CommentText">
    <w:name w:val="annotation text"/>
    <w:basedOn w:val="Normal"/>
    <w:link w:val="CommentTextChar"/>
    <w:uiPriority w:val="99"/>
    <w:semiHidden/>
    <w:unhideWhenUsed/>
    <w:rsid w:val="002872C6"/>
    <w:pPr>
      <w:spacing w:line="240" w:lineRule="auto"/>
    </w:pPr>
    <w:rPr>
      <w:sz w:val="20"/>
      <w:szCs w:val="20"/>
    </w:rPr>
  </w:style>
  <w:style w:type="character" w:customStyle="1" w:styleId="CommentTextChar">
    <w:name w:val="Comment Text Char"/>
    <w:basedOn w:val="DefaultParagraphFont"/>
    <w:link w:val="CommentText"/>
    <w:uiPriority w:val="99"/>
    <w:semiHidden/>
    <w:rsid w:val="002872C6"/>
    <w:rPr>
      <w:lang w:eastAsia="en-US"/>
    </w:rPr>
  </w:style>
  <w:style w:type="paragraph" w:styleId="CommentSubject">
    <w:name w:val="annotation subject"/>
    <w:basedOn w:val="CommentText"/>
    <w:next w:val="CommentText"/>
    <w:link w:val="CommentSubjectChar"/>
    <w:uiPriority w:val="99"/>
    <w:semiHidden/>
    <w:unhideWhenUsed/>
    <w:rsid w:val="002872C6"/>
    <w:rPr>
      <w:b/>
      <w:bCs/>
    </w:rPr>
  </w:style>
  <w:style w:type="character" w:customStyle="1" w:styleId="CommentSubjectChar">
    <w:name w:val="Comment Subject Char"/>
    <w:basedOn w:val="CommentTextChar"/>
    <w:link w:val="CommentSubject"/>
    <w:uiPriority w:val="99"/>
    <w:semiHidden/>
    <w:rsid w:val="002872C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3DFA"/>
    <w:rPr>
      <w:color w:val="0000FF"/>
      <w:u w:val="single"/>
    </w:rPr>
  </w:style>
  <w:style w:type="paragraph" w:styleId="Header">
    <w:name w:val="header"/>
    <w:basedOn w:val="Normal"/>
    <w:link w:val="HeaderChar"/>
    <w:uiPriority w:val="99"/>
    <w:unhideWhenUsed/>
    <w:rsid w:val="00AF3DFA"/>
    <w:pPr>
      <w:tabs>
        <w:tab w:val="center" w:pos="4513"/>
        <w:tab w:val="right" w:pos="9026"/>
      </w:tabs>
    </w:pPr>
  </w:style>
  <w:style w:type="character" w:customStyle="1" w:styleId="HeaderChar">
    <w:name w:val="Header Char"/>
    <w:link w:val="Header"/>
    <w:uiPriority w:val="99"/>
    <w:rsid w:val="00AF3DFA"/>
    <w:rPr>
      <w:sz w:val="22"/>
      <w:szCs w:val="22"/>
      <w:lang w:eastAsia="en-US"/>
    </w:rPr>
  </w:style>
  <w:style w:type="paragraph" w:styleId="Footer">
    <w:name w:val="footer"/>
    <w:basedOn w:val="Normal"/>
    <w:link w:val="FooterChar"/>
    <w:uiPriority w:val="99"/>
    <w:unhideWhenUsed/>
    <w:rsid w:val="00AF3DFA"/>
    <w:pPr>
      <w:tabs>
        <w:tab w:val="center" w:pos="4513"/>
        <w:tab w:val="right" w:pos="9026"/>
      </w:tabs>
    </w:pPr>
  </w:style>
  <w:style w:type="character" w:customStyle="1" w:styleId="FooterChar">
    <w:name w:val="Footer Char"/>
    <w:link w:val="Footer"/>
    <w:uiPriority w:val="99"/>
    <w:rsid w:val="00AF3DFA"/>
    <w:rPr>
      <w:sz w:val="22"/>
      <w:szCs w:val="22"/>
      <w:lang w:eastAsia="en-US"/>
    </w:rPr>
  </w:style>
  <w:style w:type="paragraph" w:styleId="BalloonText">
    <w:name w:val="Balloon Text"/>
    <w:basedOn w:val="Normal"/>
    <w:link w:val="BalloonTextChar"/>
    <w:uiPriority w:val="99"/>
    <w:semiHidden/>
    <w:unhideWhenUsed/>
    <w:rsid w:val="00AF3D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DFA"/>
    <w:rPr>
      <w:rFonts w:ascii="Tahoma" w:hAnsi="Tahoma" w:cs="Tahoma"/>
      <w:sz w:val="16"/>
      <w:szCs w:val="16"/>
      <w:lang w:eastAsia="en-US"/>
    </w:rPr>
  </w:style>
  <w:style w:type="character" w:styleId="FollowedHyperlink">
    <w:name w:val="FollowedHyperlink"/>
    <w:uiPriority w:val="99"/>
    <w:semiHidden/>
    <w:unhideWhenUsed/>
    <w:rsid w:val="00AF3DFA"/>
    <w:rPr>
      <w:color w:val="800080"/>
      <w:u w:val="single"/>
    </w:rPr>
  </w:style>
  <w:style w:type="paragraph" w:styleId="NormalWeb">
    <w:name w:val="Normal (Web)"/>
    <w:basedOn w:val="Normal"/>
    <w:uiPriority w:val="99"/>
    <w:semiHidden/>
    <w:unhideWhenUsed/>
    <w:rsid w:val="00AF3DFA"/>
    <w:rPr>
      <w:rFonts w:ascii="Times New Roman" w:hAnsi="Times New Roman" w:cs="Times New Roman"/>
      <w:sz w:val="24"/>
      <w:szCs w:val="24"/>
    </w:rPr>
  </w:style>
  <w:style w:type="table" w:styleId="TableGrid">
    <w:name w:val="Table Grid"/>
    <w:basedOn w:val="TableNormal"/>
    <w:uiPriority w:val="59"/>
    <w:rsid w:val="0028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3AE"/>
    <w:pPr>
      <w:ind w:left="720"/>
      <w:contextualSpacing/>
    </w:pPr>
  </w:style>
  <w:style w:type="character" w:styleId="CommentReference">
    <w:name w:val="annotation reference"/>
    <w:basedOn w:val="DefaultParagraphFont"/>
    <w:uiPriority w:val="99"/>
    <w:semiHidden/>
    <w:unhideWhenUsed/>
    <w:rsid w:val="002872C6"/>
    <w:rPr>
      <w:sz w:val="16"/>
      <w:szCs w:val="16"/>
    </w:rPr>
  </w:style>
  <w:style w:type="paragraph" w:styleId="CommentText">
    <w:name w:val="annotation text"/>
    <w:basedOn w:val="Normal"/>
    <w:link w:val="CommentTextChar"/>
    <w:uiPriority w:val="99"/>
    <w:semiHidden/>
    <w:unhideWhenUsed/>
    <w:rsid w:val="002872C6"/>
    <w:pPr>
      <w:spacing w:line="240" w:lineRule="auto"/>
    </w:pPr>
    <w:rPr>
      <w:sz w:val="20"/>
      <w:szCs w:val="20"/>
    </w:rPr>
  </w:style>
  <w:style w:type="character" w:customStyle="1" w:styleId="CommentTextChar">
    <w:name w:val="Comment Text Char"/>
    <w:basedOn w:val="DefaultParagraphFont"/>
    <w:link w:val="CommentText"/>
    <w:uiPriority w:val="99"/>
    <w:semiHidden/>
    <w:rsid w:val="002872C6"/>
    <w:rPr>
      <w:lang w:eastAsia="en-US"/>
    </w:rPr>
  </w:style>
  <w:style w:type="paragraph" w:styleId="CommentSubject">
    <w:name w:val="annotation subject"/>
    <w:basedOn w:val="CommentText"/>
    <w:next w:val="CommentText"/>
    <w:link w:val="CommentSubjectChar"/>
    <w:uiPriority w:val="99"/>
    <w:semiHidden/>
    <w:unhideWhenUsed/>
    <w:rsid w:val="002872C6"/>
    <w:rPr>
      <w:b/>
      <w:bCs/>
    </w:rPr>
  </w:style>
  <w:style w:type="character" w:customStyle="1" w:styleId="CommentSubjectChar">
    <w:name w:val="Comment Subject Char"/>
    <w:basedOn w:val="CommentTextChar"/>
    <w:link w:val="CommentSubject"/>
    <w:uiPriority w:val="99"/>
    <w:semiHidden/>
    <w:rsid w:val="002872C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3336">
      <w:bodyDiv w:val="1"/>
      <w:marLeft w:val="0"/>
      <w:marRight w:val="0"/>
      <w:marTop w:val="0"/>
      <w:marBottom w:val="0"/>
      <w:divBdr>
        <w:top w:val="none" w:sz="0" w:space="0" w:color="auto"/>
        <w:left w:val="none" w:sz="0" w:space="0" w:color="auto"/>
        <w:bottom w:val="none" w:sz="0" w:space="0" w:color="auto"/>
        <w:right w:val="none" w:sz="0" w:space="0" w:color="auto"/>
      </w:divBdr>
      <w:divsChild>
        <w:div w:id="1513300033">
          <w:marLeft w:val="0"/>
          <w:marRight w:val="0"/>
          <w:marTop w:val="0"/>
          <w:marBottom w:val="0"/>
          <w:divBdr>
            <w:top w:val="none" w:sz="0" w:space="0" w:color="auto"/>
            <w:left w:val="none" w:sz="0" w:space="0" w:color="auto"/>
            <w:bottom w:val="none" w:sz="0" w:space="0" w:color="auto"/>
            <w:right w:val="none" w:sz="0" w:space="0" w:color="auto"/>
          </w:divBdr>
          <w:divsChild>
            <w:div w:id="1149370821">
              <w:marLeft w:val="0"/>
              <w:marRight w:val="0"/>
              <w:marTop w:val="0"/>
              <w:marBottom w:val="0"/>
              <w:divBdr>
                <w:top w:val="none" w:sz="0" w:space="0" w:color="auto"/>
                <w:left w:val="none" w:sz="0" w:space="0" w:color="auto"/>
                <w:bottom w:val="none" w:sz="0" w:space="0" w:color="auto"/>
                <w:right w:val="none" w:sz="0" w:space="0" w:color="auto"/>
              </w:divBdr>
              <w:divsChild>
                <w:div w:id="438793359">
                  <w:marLeft w:val="0"/>
                  <w:marRight w:val="0"/>
                  <w:marTop w:val="0"/>
                  <w:marBottom w:val="0"/>
                  <w:divBdr>
                    <w:top w:val="none" w:sz="0" w:space="0" w:color="auto"/>
                    <w:left w:val="none" w:sz="0" w:space="0" w:color="auto"/>
                    <w:bottom w:val="none" w:sz="0" w:space="0" w:color="auto"/>
                    <w:right w:val="none" w:sz="0" w:space="0" w:color="auto"/>
                  </w:divBdr>
                  <w:divsChild>
                    <w:div w:id="1600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4558">
      <w:bodyDiv w:val="1"/>
      <w:marLeft w:val="0"/>
      <w:marRight w:val="0"/>
      <w:marTop w:val="0"/>
      <w:marBottom w:val="0"/>
      <w:divBdr>
        <w:top w:val="none" w:sz="0" w:space="0" w:color="auto"/>
        <w:left w:val="none" w:sz="0" w:space="0" w:color="auto"/>
        <w:bottom w:val="none" w:sz="0" w:space="0" w:color="auto"/>
        <w:right w:val="none" w:sz="0" w:space="0" w:color="auto"/>
      </w:divBdr>
      <w:divsChild>
        <w:div w:id="177475505">
          <w:marLeft w:val="0"/>
          <w:marRight w:val="0"/>
          <w:marTop w:val="0"/>
          <w:marBottom w:val="0"/>
          <w:divBdr>
            <w:top w:val="none" w:sz="0" w:space="0" w:color="auto"/>
            <w:left w:val="none" w:sz="0" w:space="0" w:color="auto"/>
            <w:bottom w:val="none" w:sz="0" w:space="0" w:color="auto"/>
            <w:right w:val="none" w:sz="0" w:space="0" w:color="auto"/>
          </w:divBdr>
          <w:divsChild>
            <w:div w:id="1672951525">
              <w:marLeft w:val="0"/>
              <w:marRight w:val="0"/>
              <w:marTop w:val="0"/>
              <w:marBottom w:val="0"/>
              <w:divBdr>
                <w:top w:val="none" w:sz="0" w:space="0" w:color="auto"/>
                <w:left w:val="none" w:sz="0" w:space="0" w:color="auto"/>
                <w:bottom w:val="none" w:sz="0" w:space="0" w:color="auto"/>
                <w:right w:val="none" w:sz="0" w:space="0" w:color="auto"/>
              </w:divBdr>
              <w:divsChild>
                <w:div w:id="1395159674">
                  <w:marLeft w:val="0"/>
                  <w:marRight w:val="0"/>
                  <w:marTop w:val="0"/>
                  <w:marBottom w:val="480"/>
                  <w:divBdr>
                    <w:top w:val="none" w:sz="0" w:space="0" w:color="auto"/>
                    <w:left w:val="none" w:sz="0" w:space="0" w:color="auto"/>
                    <w:bottom w:val="none" w:sz="0" w:space="0" w:color="auto"/>
                    <w:right w:val="none" w:sz="0" w:space="0" w:color="auto"/>
                  </w:divBdr>
                  <w:divsChild>
                    <w:div w:id="2282773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86997011">
      <w:bodyDiv w:val="1"/>
      <w:marLeft w:val="0"/>
      <w:marRight w:val="0"/>
      <w:marTop w:val="0"/>
      <w:marBottom w:val="0"/>
      <w:divBdr>
        <w:top w:val="none" w:sz="0" w:space="0" w:color="auto"/>
        <w:left w:val="none" w:sz="0" w:space="0" w:color="auto"/>
        <w:bottom w:val="none" w:sz="0" w:space="0" w:color="auto"/>
        <w:right w:val="none" w:sz="0" w:space="0" w:color="auto"/>
      </w:divBdr>
    </w:div>
    <w:div w:id="1196114300">
      <w:bodyDiv w:val="1"/>
      <w:marLeft w:val="0"/>
      <w:marRight w:val="0"/>
      <w:marTop w:val="0"/>
      <w:marBottom w:val="0"/>
      <w:divBdr>
        <w:top w:val="none" w:sz="0" w:space="0" w:color="auto"/>
        <w:left w:val="none" w:sz="0" w:space="0" w:color="auto"/>
        <w:bottom w:val="none" w:sz="0" w:space="0" w:color="auto"/>
        <w:right w:val="none" w:sz="0" w:space="0" w:color="auto"/>
      </w:divBdr>
      <w:divsChild>
        <w:div w:id="1040738820">
          <w:marLeft w:val="0"/>
          <w:marRight w:val="0"/>
          <w:marTop w:val="0"/>
          <w:marBottom w:val="0"/>
          <w:divBdr>
            <w:top w:val="none" w:sz="0" w:space="0" w:color="auto"/>
            <w:left w:val="none" w:sz="0" w:space="0" w:color="auto"/>
            <w:bottom w:val="none" w:sz="0" w:space="0" w:color="auto"/>
            <w:right w:val="none" w:sz="0" w:space="0" w:color="auto"/>
          </w:divBdr>
          <w:divsChild>
            <w:div w:id="2079277285">
              <w:marLeft w:val="0"/>
              <w:marRight w:val="0"/>
              <w:marTop w:val="0"/>
              <w:marBottom w:val="0"/>
              <w:divBdr>
                <w:top w:val="none" w:sz="0" w:space="0" w:color="auto"/>
                <w:left w:val="none" w:sz="0" w:space="0" w:color="auto"/>
                <w:bottom w:val="none" w:sz="0" w:space="0" w:color="auto"/>
                <w:right w:val="none" w:sz="0" w:space="0" w:color="auto"/>
              </w:divBdr>
              <w:divsChild>
                <w:div w:id="19579103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30015201">
      <w:bodyDiv w:val="1"/>
      <w:marLeft w:val="0"/>
      <w:marRight w:val="0"/>
      <w:marTop w:val="0"/>
      <w:marBottom w:val="0"/>
      <w:divBdr>
        <w:top w:val="none" w:sz="0" w:space="0" w:color="auto"/>
        <w:left w:val="none" w:sz="0" w:space="0" w:color="auto"/>
        <w:bottom w:val="none" w:sz="0" w:space="0" w:color="auto"/>
        <w:right w:val="none" w:sz="0" w:space="0" w:color="auto"/>
      </w:divBdr>
      <w:divsChild>
        <w:div w:id="502285405">
          <w:marLeft w:val="0"/>
          <w:marRight w:val="0"/>
          <w:marTop w:val="0"/>
          <w:marBottom w:val="0"/>
          <w:divBdr>
            <w:top w:val="none" w:sz="0" w:space="0" w:color="auto"/>
            <w:left w:val="none" w:sz="0" w:space="0" w:color="auto"/>
            <w:bottom w:val="none" w:sz="0" w:space="0" w:color="auto"/>
            <w:right w:val="none" w:sz="0" w:space="0" w:color="auto"/>
          </w:divBdr>
          <w:divsChild>
            <w:div w:id="131406884">
              <w:marLeft w:val="0"/>
              <w:marRight w:val="0"/>
              <w:marTop w:val="0"/>
              <w:marBottom w:val="0"/>
              <w:divBdr>
                <w:top w:val="none" w:sz="0" w:space="0" w:color="auto"/>
                <w:left w:val="none" w:sz="0" w:space="0" w:color="auto"/>
                <w:bottom w:val="none" w:sz="0" w:space="0" w:color="auto"/>
                <w:right w:val="none" w:sz="0" w:space="0" w:color="auto"/>
              </w:divBdr>
              <w:divsChild>
                <w:div w:id="13880726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28843444">
      <w:bodyDiv w:val="1"/>
      <w:marLeft w:val="0"/>
      <w:marRight w:val="0"/>
      <w:marTop w:val="0"/>
      <w:marBottom w:val="0"/>
      <w:divBdr>
        <w:top w:val="none" w:sz="0" w:space="0" w:color="auto"/>
        <w:left w:val="none" w:sz="0" w:space="0" w:color="auto"/>
        <w:bottom w:val="none" w:sz="0" w:space="0" w:color="auto"/>
        <w:right w:val="none" w:sz="0" w:space="0" w:color="auto"/>
      </w:divBdr>
      <w:divsChild>
        <w:div w:id="1490828524">
          <w:marLeft w:val="0"/>
          <w:marRight w:val="0"/>
          <w:marTop w:val="0"/>
          <w:marBottom w:val="0"/>
          <w:divBdr>
            <w:top w:val="none" w:sz="0" w:space="0" w:color="auto"/>
            <w:left w:val="none" w:sz="0" w:space="0" w:color="auto"/>
            <w:bottom w:val="none" w:sz="0" w:space="0" w:color="auto"/>
            <w:right w:val="none" w:sz="0" w:space="0" w:color="auto"/>
          </w:divBdr>
          <w:divsChild>
            <w:div w:id="154690713">
              <w:marLeft w:val="0"/>
              <w:marRight w:val="0"/>
              <w:marTop w:val="0"/>
              <w:marBottom w:val="0"/>
              <w:divBdr>
                <w:top w:val="none" w:sz="0" w:space="0" w:color="auto"/>
                <w:left w:val="none" w:sz="0" w:space="0" w:color="auto"/>
                <w:bottom w:val="none" w:sz="0" w:space="0" w:color="auto"/>
                <w:right w:val="none" w:sz="0" w:space="0" w:color="auto"/>
              </w:divBdr>
              <w:divsChild>
                <w:div w:id="6566937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58972301">
      <w:bodyDiv w:val="1"/>
      <w:marLeft w:val="0"/>
      <w:marRight w:val="0"/>
      <w:marTop w:val="0"/>
      <w:marBottom w:val="0"/>
      <w:divBdr>
        <w:top w:val="none" w:sz="0" w:space="0" w:color="auto"/>
        <w:left w:val="none" w:sz="0" w:space="0" w:color="auto"/>
        <w:bottom w:val="none" w:sz="0" w:space="0" w:color="auto"/>
        <w:right w:val="none" w:sz="0" w:space="0" w:color="auto"/>
      </w:divBdr>
    </w:div>
    <w:div w:id="1806508377">
      <w:bodyDiv w:val="1"/>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472596915">
              <w:marLeft w:val="0"/>
              <w:marRight w:val="0"/>
              <w:marTop w:val="0"/>
              <w:marBottom w:val="0"/>
              <w:divBdr>
                <w:top w:val="none" w:sz="0" w:space="0" w:color="auto"/>
                <w:left w:val="none" w:sz="0" w:space="0" w:color="auto"/>
                <w:bottom w:val="none" w:sz="0" w:space="0" w:color="auto"/>
                <w:right w:val="none" w:sz="0" w:space="0" w:color="auto"/>
              </w:divBdr>
              <w:divsChild>
                <w:div w:id="16855107">
                  <w:marLeft w:val="0"/>
                  <w:marRight w:val="0"/>
                  <w:marTop w:val="0"/>
                  <w:marBottom w:val="480"/>
                  <w:divBdr>
                    <w:top w:val="none" w:sz="0" w:space="0" w:color="auto"/>
                    <w:left w:val="none" w:sz="0" w:space="0" w:color="auto"/>
                    <w:bottom w:val="none" w:sz="0" w:space="0" w:color="auto"/>
                    <w:right w:val="none" w:sz="0" w:space="0" w:color="auto"/>
                  </w:divBdr>
                  <w:divsChild>
                    <w:div w:id="101935104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5433197">
      <w:bodyDiv w:val="1"/>
      <w:marLeft w:val="0"/>
      <w:marRight w:val="0"/>
      <w:marTop w:val="0"/>
      <w:marBottom w:val="0"/>
      <w:divBdr>
        <w:top w:val="none" w:sz="0" w:space="0" w:color="auto"/>
        <w:left w:val="none" w:sz="0" w:space="0" w:color="auto"/>
        <w:bottom w:val="none" w:sz="0" w:space="0" w:color="auto"/>
        <w:right w:val="none" w:sz="0" w:space="0" w:color="auto"/>
      </w:divBdr>
      <w:divsChild>
        <w:div w:id="1083382385">
          <w:marLeft w:val="0"/>
          <w:marRight w:val="0"/>
          <w:marTop w:val="450"/>
          <w:marBottom w:val="450"/>
          <w:divBdr>
            <w:top w:val="none" w:sz="0" w:space="0" w:color="auto"/>
            <w:left w:val="none" w:sz="0" w:space="0" w:color="auto"/>
            <w:bottom w:val="none" w:sz="0" w:space="0" w:color="auto"/>
            <w:right w:val="none" w:sz="0" w:space="0" w:color="auto"/>
          </w:divBdr>
          <w:divsChild>
            <w:div w:id="1602448009">
              <w:marLeft w:val="450"/>
              <w:marRight w:val="0"/>
              <w:marTop w:val="0"/>
              <w:marBottom w:val="0"/>
              <w:divBdr>
                <w:top w:val="none" w:sz="0" w:space="0" w:color="auto"/>
                <w:left w:val="none" w:sz="0" w:space="0" w:color="auto"/>
                <w:bottom w:val="none" w:sz="0" w:space="0" w:color="auto"/>
                <w:right w:val="none" w:sz="0" w:space="0" w:color="auto"/>
              </w:divBdr>
              <w:divsChild>
                <w:div w:id="1668485367">
                  <w:marLeft w:val="0"/>
                  <w:marRight w:val="0"/>
                  <w:marTop w:val="0"/>
                  <w:marBottom w:val="0"/>
                  <w:divBdr>
                    <w:top w:val="none" w:sz="0" w:space="0" w:color="auto"/>
                    <w:left w:val="none" w:sz="0" w:space="0" w:color="auto"/>
                    <w:bottom w:val="none" w:sz="0" w:space="0" w:color="auto"/>
                    <w:right w:val="none" w:sz="0" w:space="0" w:color="auto"/>
                  </w:divBdr>
                  <w:divsChild>
                    <w:div w:id="1049261187">
                      <w:marLeft w:val="186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special-category-data/" TargetMode="External"/><Relationship Id="rId13" Type="http://schemas.openxmlformats.org/officeDocument/2006/relationships/hyperlink" Target="https://www.shu.ac.uk/about-this-website/privacy-policy/privacy-notices/privacy-notice-for-resea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ortal.shu.ac.uk/sites/GovernanceServices/SitePages/General%20Data%20Protection%20Regulation%20(GDPR).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hu.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hu.ac.uk/about-this-website/privacy-policy/privacy-notices/privacy-notice-for-research" TargetMode="External"/><Relationship Id="rId4" Type="http://schemas.openxmlformats.org/officeDocument/2006/relationships/settings" Target="settings.xml"/><Relationship Id="rId9" Type="http://schemas.openxmlformats.org/officeDocument/2006/relationships/hyperlink" Target="https://ico.org.uk/for-organisations/guide-to-data-protection/anonymis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4</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Macaskill</dc:creator>
  <cp:lastModifiedBy>Ann Macaskill</cp:lastModifiedBy>
  <cp:revision>14</cp:revision>
  <cp:lastPrinted>2018-05-02T09:51:00Z</cp:lastPrinted>
  <dcterms:created xsi:type="dcterms:W3CDTF">2018-04-24T14:41:00Z</dcterms:created>
  <dcterms:modified xsi:type="dcterms:W3CDTF">2018-05-18T14:24:00Z</dcterms:modified>
</cp:coreProperties>
</file>