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6B5FEA8F" w14:textId="77777777" w:rsidR="002D2372" w:rsidRDefault="002D2372" w:rsidP="002D2372">
      <w:pPr>
        <w:rPr>
          <w:rFonts w:ascii="Arial" w:hAnsi="Arial" w:cs="Arial"/>
        </w:rPr>
      </w:pPr>
    </w:p>
    <w:p w14:paraId="6B5FEA90" w14:textId="77777777" w:rsidR="00361E50" w:rsidRDefault="00361E50" w:rsidP="002D2372">
      <w:pPr>
        <w:rPr>
          <w:rFonts w:ascii="Arial" w:hAnsi="Arial" w:cs="Arial"/>
        </w:rPr>
      </w:pPr>
    </w:p>
    <w:p w14:paraId="6B5FEA91" w14:textId="77777777" w:rsidR="002D2372" w:rsidRDefault="002D2372" w:rsidP="002D2372">
      <w:pPr>
        <w:rPr>
          <w:rFonts w:ascii="Arial" w:hAnsi="Arial" w:cs="Arial"/>
        </w:rPr>
      </w:pPr>
    </w:p>
    <w:p w14:paraId="6B5FEA92" w14:textId="764FEDDE" w:rsidR="002D2372" w:rsidRPr="00F850F4" w:rsidRDefault="00D72479" w:rsidP="00F850F4">
      <w:pPr>
        <w:pStyle w:val="Title"/>
        <w:rPr>
          <w:color w:val="7A003A"/>
        </w:rPr>
      </w:pPr>
      <w:r w:rsidRPr="00F850F4">
        <w:rPr>
          <w:color w:val="7A003A"/>
        </w:rPr>
        <w:t>An Academic Essentials Case Study</w:t>
      </w:r>
    </w:p>
    <w:p w14:paraId="65DE71C6" w14:textId="77777777" w:rsidR="00F850F4" w:rsidRDefault="00F850F4" w:rsidP="00361E50">
      <w:pPr>
        <w:rPr>
          <w:rFonts w:ascii="Arial" w:hAnsi="Arial" w:cs="Arial"/>
        </w:rPr>
      </w:pPr>
    </w:p>
    <w:tbl>
      <w:tblPr>
        <w:tblStyle w:val="TableGrid"/>
        <w:tblW w:w="0" w:type="auto"/>
        <w:tblLook w:val="04A0" w:firstRow="1" w:lastRow="0" w:firstColumn="1" w:lastColumn="0" w:noHBand="0" w:noVBand="1"/>
      </w:tblPr>
      <w:tblGrid>
        <w:gridCol w:w="1419"/>
        <w:gridCol w:w="2687"/>
        <w:gridCol w:w="6662"/>
      </w:tblGrid>
      <w:tr w:rsidR="00E93B43" w14:paraId="275BC02D" w14:textId="071405D6" w:rsidTr="00461E2C">
        <w:tc>
          <w:tcPr>
            <w:tcW w:w="1419" w:type="dxa"/>
            <w:shd w:val="clear" w:color="auto" w:fill="993366"/>
            <w:vAlign w:val="center"/>
          </w:tcPr>
          <w:p w14:paraId="1F921170" w14:textId="2D0F0F7F" w:rsidR="00E93B43" w:rsidRPr="00871288" w:rsidRDefault="00E93B43" w:rsidP="00461E2C">
            <w:pPr>
              <w:pStyle w:val="Heading1"/>
              <w:outlineLvl w:val="0"/>
              <w:rPr>
                <w:rFonts w:ascii="Arial" w:hAnsi="Arial" w:cs="Arial"/>
                <w:color w:val="FFFFFF" w:themeColor="background1"/>
                <w:sz w:val="28"/>
                <w:szCs w:val="28"/>
              </w:rPr>
            </w:pPr>
            <w:r w:rsidRPr="00871288">
              <w:rPr>
                <w:rFonts w:ascii="Arial" w:hAnsi="Arial" w:cs="Arial"/>
                <w:color w:val="FFFFFF" w:themeColor="background1"/>
                <w:sz w:val="28"/>
                <w:szCs w:val="28"/>
              </w:rPr>
              <w:t>Title</w:t>
            </w:r>
          </w:p>
        </w:tc>
        <w:tc>
          <w:tcPr>
            <w:tcW w:w="9349" w:type="dxa"/>
            <w:gridSpan w:val="2"/>
            <w:vAlign w:val="center"/>
          </w:tcPr>
          <w:p w14:paraId="41B3BCB8" w14:textId="6D04C464" w:rsidR="00E93B43" w:rsidRDefault="00E93B43" w:rsidP="002B6AE8">
            <w:pPr>
              <w:jc w:val="center"/>
            </w:pPr>
            <w:r>
              <w:t>Formative Assessment in a HR Module</w:t>
            </w:r>
          </w:p>
        </w:tc>
      </w:tr>
      <w:tr w:rsidR="00E93B43" w14:paraId="794CE34B" w14:textId="64CE2917" w:rsidTr="00461E2C">
        <w:tc>
          <w:tcPr>
            <w:tcW w:w="1419" w:type="dxa"/>
            <w:shd w:val="clear" w:color="auto" w:fill="993366"/>
            <w:vAlign w:val="center"/>
          </w:tcPr>
          <w:p w14:paraId="05E85651" w14:textId="1B767927" w:rsidR="00E93B43" w:rsidRPr="00871288" w:rsidRDefault="00E93B43" w:rsidP="00461E2C">
            <w:pPr>
              <w:pStyle w:val="Heading1"/>
              <w:outlineLvl w:val="0"/>
              <w:rPr>
                <w:rFonts w:ascii="Arial" w:hAnsi="Arial" w:cs="Arial"/>
                <w:color w:val="FFFFFF" w:themeColor="background1"/>
                <w:sz w:val="28"/>
                <w:szCs w:val="28"/>
              </w:rPr>
            </w:pPr>
            <w:r w:rsidRPr="00871288">
              <w:rPr>
                <w:rFonts w:ascii="Arial" w:hAnsi="Arial" w:cs="Arial"/>
                <w:color w:val="FFFFFF" w:themeColor="background1"/>
                <w:sz w:val="28"/>
                <w:szCs w:val="28"/>
              </w:rPr>
              <w:t>Brief</w:t>
            </w:r>
          </w:p>
        </w:tc>
        <w:tc>
          <w:tcPr>
            <w:tcW w:w="9349" w:type="dxa"/>
            <w:gridSpan w:val="2"/>
            <w:vAlign w:val="center"/>
          </w:tcPr>
          <w:p w14:paraId="3D441E58" w14:textId="0F7C4CC8" w:rsidR="00E93B43" w:rsidRDefault="00E93B43" w:rsidP="002B6AE8">
            <w:pPr>
              <w:jc w:val="center"/>
            </w:pPr>
            <w:r>
              <w:t>Small changes to boost engagement with formative tasks</w:t>
            </w:r>
          </w:p>
        </w:tc>
      </w:tr>
      <w:tr w:rsidR="00E93B43" w14:paraId="04DF30A8" w14:textId="62ED0DBE" w:rsidTr="00461E2C">
        <w:trPr>
          <w:trHeight w:val="558"/>
        </w:trPr>
        <w:tc>
          <w:tcPr>
            <w:tcW w:w="1419" w:type="dxa"/>
            <w:vMerge w:val="restart"/>
            <w:shd w:val="clear" w:color="auto" w:fill="993366"/>
          </w:tcPr>
          <w:p w14:paraId="15B89F79" w14:textId="1A2774C2" w:rsidR="00E93B43" w:rsidRPr="00871288" w:rsidRDefault="00E93B43" w:rsidP="00461E2C">
            <w:pPr>
              <w:pStyle w:val="Heading1"/>
              <w:outlineLvl w:val="0"/>
              <w:rPr>
                <w:rFonts w:ascii="Arial" w:hAnsi="Arial" w:cs="Arial"/>
                <w:color w:val="FFFFFF" w:themeColor="background1"/>
                <w:sz w:val="28"/>
                <w:szCs w:val="28"/>
              </w:rPr>
            </w:pPr>
            <w:r w:rsidRPr="00871288">
              <w:rPr>
                <w:rFonts w:ascii="Arial" w:hAnsi="Arial" w:cs="Arial"/>
                <w:color w:val="FFFFFF" w:themeColor="background1"/>
                <w:sz w:val="28"/>
                <w:szCs w:val="28"/>
              </w:rPr>
              <w:t>Profile</w:t>
            </w:r>
          </w:p>
        </w:tc>
        <w:tc>
          <w:tcPr>
            <w:tcW w:w="2687" w:type="dxa"/>
            <w:vAlign w:val="center"/>
          </w:tcPr>
          <w:p w14:paraId="4CD3E84F" w14:textId="2DC98FD0" w:rsidR="00E93B43" w:rsidRPr="00E93B43" w:rsidRDefault="00E93B43" w:rsidP="00461E2C">
            <w:r>
              <w:rPr>
                <w:b/>
                <w:bCs/>
              </w:rPr>
              <w:t>Tutor names</w:t>
            </w:r>
          </w:p>
        </w:tc>
        <w:tc>
          <w:tcPr>
            <w:tcW w:w="6662" w:type="dxa"/>
          </w:tcPr>
          <w:p w14:paraId="66CA95BC" w14:textId="55A5B7A6" w:rsidR="00E93B43" w:rsidRPr="00E93B43" w:rsidRDefault="00E93B43" w:rsidP="00E93B43">
            <w:r>
              <w:t>Lynne Booth and Michelle Blackburn</w:t>
            </w:r>
          </w:p>
        </w:tc>
      </w:tr>
      <w:tr w:rsidR="00E93B43" w14:paraId="5DC93010" w14:textId="77777777" w:rsidTr="00461E2C">
        <w:trPr>
          <w:trHeight w:val="557"/>
        </w:trPr>
        <w:tc>
          <w:tcPr>
            <w:tcW w:w="1419" w:type="dxa"/>
            <w:vMerge/>
            <w:shd w:val="clear" w:color="auto" w:fill="993366"/>
          </w:tcPr>
          <w:p w14:paraId="6EFE922C"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6B5E7BFA" w14:textId="66FAC946" w:rsidR="00E93B43" w:rsidRDefault="00E93B43" w:rsidP="00461E2C">
            <w:pPr>
              <w:rPr>
                <w:b/>
                <w:bCs/>
              </w:rPr>
            </w:pPr>
            <w:r>
              <w:rPr>
                <w:b/>
                <w:bCs/>
              </w:rPr>
              <w:t>Email address</w:t>
            </w:r>
          </w:p>
        </w:tc>
        <w:tc>
          <w:tcPr>
            <w:tcW w:w="6662" w:type="dxa"/>
          </w:tcPr>
          <w:p w14:paraId="373A973F" w14:textId="1DC6F350" w:rsidR="00E93B43" w:rsidRDefault="00E4381C" w:rsidP="009B3457">
            <w:pPr>
              <w:rPr>
                <w:b/>
                <w:bCs/>
              </w:rPr>
            </w:pPr>
            <w:hyperlink r:id="rId11" w:history="1">
              <w:r w:rsidR="00E93B43" w:rsidRPr="00A34AE4">
                <w:rPr>
                  <w:rStyle w:val="Hyperlink"/>
                </w:rPr>
                <w:t>l.m.booth@shu.ac.uk</w:t>
              </w:r>
            </w:hyperlink>
            <w:r w:rsidR="00E93B43">
              <w:t xml:space="preserve"> and </w:t>
            </w:r>
            <w:hyperlink r:id="rId12" w:history="1">
              <w:r w:rsidR="00E93B43" w:rsidRPr="00A34AE4">
                <w:rPr>
                  <w:rStyle w:val="Hyperlink"/>
                </w:rPr>
                <w:t>m.blackburn@shu.ac.uk</w:t>
              </w:r>
            </w:hyperlink>
            <w:r w:rsidR="00E93B43">
              <w:t xml:space="preserve"> </w:t>
            </w:r>
          </w:p>
        </w:tc>
      </w:tr>
      <w:tr w:rsidR="00E93B43" w14:paraId="68058436" w14:textId="77777777" w:rsidTr="00461E2C">
        <w:trPr>
          <w:trHeight w:val="557"/>
        </w:trPr>
        <w:tc>
          <w:tcPr>
            <w:tcW w:w="1419" w:type="dxa"/>
            <w:vMerge/>
            <w:shd w:val="clear" w:color="auto" w:fill="993366"/>
          </w:tcPr>
          <w:p w14:paraId="0A45D066"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11400E94" w14:textId="7470FDE7" w:rsidR="00E93B43" w:rsidRDefault="00E93B43" w:rsidP="00461E2C">
            <w:pPr>
              <w:rPr>
                <w:b/>
                <w:bCs/>
              </w:rPr>
            </w:pPr>
            <w:r>
              <w:rPr>
                <w:b/>
                <w:bCs/>
              </w:rPr>
              <w:t>College</w:t>
            </w:r>
          </w:p>
        </w:tc>
        <w:tc>
          <w:tcPr>
            <w:tcW w:w="6662" w:type="dxa"/>
          </w:tcPr>
          <w:p w14:paraId="335892D3" w14:textId="487E7691" w:rsidR="00E93B43" w:rsidRDefault="00E93B43" w:rsidP="00361E50">
            <w:pPr>
              <w:rPr>
                <w:b/>
                <w:bCs/>
              </w:rPr>
            </w:pPr>
            <w:r>
              <w:t>Business, Technology and Engineering (BTE)</w:t>
            </w:r>
          </w:p>
        </w:tc>
      </w:tr>
      <w:tr w:rsidR="00E93B43" w14:paraId="6DF06CB9" w14:textId="77777777" w:rsidTr="00461E2C">
        <w:trPr>
          <w:trHeight w:val="557"/>
        </w:trPr>
        <w:tc>
          <w:tcPr>
            <w:tcW w:w="1419" w:type="dxa"/>
            <w:vMerge/>
            <w:shd w:val="clear" w:color="auto" w:fill="993366"/>
          </w:tcPr>
          <w:p w14:paraId="36AE0A79"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4072861B" w14:textId="6A8E7DF6" w:rsidR="00E93B43" w:rsidRDefault="00E93B43" w:rsidP="00461E2C">
            <w:pPr>
              <w:rPr>
                <w:b/>
                <w:bCs/>
              </w:rPr>
            </w:pPr>
            <w:r>
              <w:rPr>
                <w:b/>
                <w:bCs/>
              </w:rPr>
              <w:t>Department</w:t>
            </w:r>
          </w:p>
        </w:tc>
        <w:tc>
          <w:tcPr>
            <w:tcW w:w="6662" w:type="dxa"/>
          </w:tcPr>
          <w:p w14:paraId="4DD48B4A" w14:textId="3D8CD8AB" w:rsidR="00E93B43" w:rsidRDefault="00E93B43" w:rsidP="00361E50">
            <w:pPr>
              <w:rPr>
                <w:b/>
                <w:bCs/>
              </w:rPr>
            </w:pPr>
            <w:r>
              <w:t>Management</w:t>
            </w:r>
          </w:p>
        </w:tc>
      </w:tr>
      <w:tr w:rsidR="00E93B43" w14:paraId="10BC29D9" w14:textId="77777777" w:rsidTr="00461E2C">
        <w:trPr>
          <w:trHeight w:val="557"/>
        </w:trPr>
        <w:tc>
          <w:tcPr>
            <w:tcW w:w="1419" w:type="dxa"/>
            <w:vMerge/>
            <w:shd w:val="clear" w:color="auto" w:fill="993366"/>
          </w:tcPr>
          <w:p w14:paraId="3B87E30D"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0EC08F59" w14:textId="778339E7" w:rsidR="00E93B43" w:rsidRDefault="00E93B43" w:rsidP="00461E2C">
            <w:pPr>
              <w:rPr>
                <w:b/>
                <w:bCs/>
              </w:rPr>
            </w:pPr>
            <w:r>
              <w:rPr>
                <w:b/>
                <w:bCs/>
              </w:rPr>
              <w:t>Size of cohort</w:t>
            </w:r>
          </w:p>
        </w:tc>
        <w:tc>
          <w:tcPr>
            <w:tcW w:w="6662" w:type="dxa"/>
          </w:tcPr>
          <w:p w14:paraId="671E4EA6" w14:textId="289EF302" w:rsidR="00E93B43" w:rsidRDefault="00E93B43" w:rsidP="009B3457">
            <w:pPr>
              <w:rPr>
                <w:b/>
                <w:bCs/>
              </w:rPr>
            </w:pPr>
            <w:r>
              <w:t>Large (30+ students)</w:t>
            </w:r>
          </w:p>
        </w:tc>
      </w:tr>
      <w:tr w:rsidR="00E93B43" w14:paraId="0C34E9E0" w14:textId="77777777" w:rsidTr="00461E2C">
        <w:trPr>
          <w:trHeight w:val="557"/>
        </w:trPr>
        <w:tc>
          <w:tcPr>
            <w:tcW w:w="1419" w:type="dxa"/>
            <w:vMerge/>
            <w:shd w:val="clear" w:color="auto" w:fill="993366"/>
          </w:tcPr>
          <w:p w14:paraId="1D9E20C2"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6491A0C2" w14:textId="00515692" w:rsidR="00E93B43" w:rsidRDefault="00E93B43" w:rsidP="00461E2C">
            <w:pPr>
              <w:rPr>
                <w:b/>
                <w:bCs/>
              </w:rPr>
            </w:pPr>
            <w:r>
              <w:rPr>
                <w:b/>
                <w:bCs/>
              </w:rPr>
              <w:t>Technologies used</w:t>
            </w:r>
          </w:p>
        </w:tc>
        <w:tc>
          <w:tcPr>
            <w:tcW w:w="6662" w:type="dxa"/>
          </w:tcPr>
          <w:p w14:paraId="565B6B6C" w14:textId="74DD6266" w:rsidR="00E93B43" w:rsidRDefault="00E93B43" w:rsidP="009B3457">
            <w:pPr>
              <w:rPr>
                <w:b/>
                <w:bCs/>
              </w:rPr>
            </w:pPr>
            <w:r>
              <w:t>Blackboard</w:t>
            </w:r>
          </w:p>
        </w:tc>
      </w:tr>
      <w:tr w:rsidR="00E93B43" w14:paraId="635520D6" w14:textId="77777777" w:rsidTr="00461E2C">
        <w:trPr>
          <w:trHeight w:val="557"/>
        </w:trPr>
        <w:tc>
          <w:tcPr>
            <w:tcW w:w="1419" w:type="dxa"/>
            <w:vMerge/>
            <w:shd w:val="clear" w:color="auto" w:fill="993366"/>
          </w:tcPr>
          <w:p w14:paraId="64FCEF78"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7742AD04" w14:textId="4B72D80F" w:rsidR="00E93B43" w:rsidRDefault="00E93B43" w:rsidP="00461E2C">
            <w:pPr>
              <w:rPr>
                <w:b/>
                <w:bCs/>
              </w:rPr>
            </w:pPr>
            <w:r>
              <w:rPr>
                <w:b/>
                <w:bCs/>
              </w:rPr>
              <w:t>Hallam Model</w:t>
            </w:r>
          </w:p>
        </w:tc>
        <w:tc>
          <w:tcPr>
            <w:tcW w:w="6662" w:type="dxa"/>
          </w:tcPr>
          <w:p w14:paraId="567BB82B" w14:textId="35341DFF" w:rsidR="00E93B43" w:rsidRDefault="00E93B43" w:rsidP="00361E50">
            <w:pPr>
              <w:rPr>
                <w:b/>
                <w:bCs/>
              </w:rPr>
            </w:pPr>
            <w:r>
              <w:t>Thrive</w:t>
            </w:r>
          </w:p>
        </w:tc>
      </w:tr>
    </w:tbl>
    <w:p w14:paraId="6E83ACF3" w14:textId="77777777" w:rsidR="00715EB9" w:rsidRDefault="00715EB9" w:rsidP="00361E50">
      <w:pPr>
        <w:rPr>
          <w:rFonts w:ascii="Arial" w:hAnsi="Arial" w:cs="Arial"/>
        </w:rPr>
      </w:pPr>
    </w:p>
    <w:tbl>
      <w:tblPr>
        <w:tblStyle w:val="TableGrid"/>
        <w:tblW w:w="0" w:type="auto"/>
        <w:tblLook w:val="04A0" w:firstRow="1" w:lastRow="0" w:firstColumn="1" w:lastColumn="0" w:noHBand="0" w:noVBand="1"/>
      </w:tblPr>
      <w:tblGrid>
        <w:gridCol w:w="10870"/>
      </w:tblGrid>
      <w:tr w:rsidR="00927C95" w14:paraId="32BF41EC" w14:textId="77777777" w:rsidTr="00927C95">
        <w:tc>
          <w:tcPr>
            <w:tcW w:w="11096" w:type="dxa"/>
            <w:shd w:val="clear" w:color="auto" w:fill="993366"/>
          </w:tcPr>
          <w:p w14:paraId="67408F1D" w14:textId="4B0D65FE" w:rsidR="00927C95" w:rsidRPr="00927C95" w:rsidRDefault="00927C95" w:rsidP="00927C95">
            <w:pPr>
              <w:pStyle w:val="Heading2"/>
              <w:outlineLvl w:val="1"/>
              <w:rPr>
                <w:rFonts w:cs="Arial"/>
              </w:rPr>
            </w:pPr>
            <w:r w:rsidRPr="00927C95">
              <w:t>The Aim</w:t>
            </w:r>
          </w:p>
        </w:tc>
      </w:tr>
      <w:tr w:rsidR="00927C95" w14:paraId="2DEC5D98" w14:textId="77777777" w:rsidTr="00927C95">
        <w:tc>
          <w:tcPr>
            <w:tcW w:w="11096" w:type="dxa"/>
          </w:tcPr>
          <w:p w14:paraId="6E50D445" w14:textId="13A2A3B9" w:rsidR="00927C95" w:rsidRDefault="00485CC0" w:rsidP="00485CC0">
            <w:r>
              <w:t>We wanted to boost the number of students who engaged with formative assessment as the assessment required them to demonstrate new skills (blog writing) using new technology (WordPress).  It also provided assurance (or fresh guidance) to the students in time for them to make improvements to their work before formal submission.  This was achieved within the time allowance for the module.</w:t>
            </w:r>
          </w:p>
        </w:tc>
      </w:tr>
    </w:tbl>
    <w:p w14:paraId="10DC1DEA" w14:textId="43AE95C7" w:rsidR="000D6D79" w:rsidRDefault="000D6D79" w:rsidP="00361E50">
      <w:pPr>
        <w:rPr>
          <w:rFonts w:ascii="Arial" w:hAnsi="Arial" w:cs="Arial"/>
        </w:rPr>
      </w:pPr>
    </w:p>
    <w:tbl>
      <w:tblPr>
        <w:tblStyle w:val="TableGrid"/>
        <w:tblW w:w="0" w:type="auto"/>
        <w:tblLook w:val="04A0" w:firstRow="1" w:lastRow="0" w:firstColumn="1" w:lastColumn="0" w:noHBand="0" w:noVBand="1"/>
      </w:tblPr>
      <w:tblGrid>
        <w:gridCol w:w="10870"/>
      </w:tblGrid>
      <w:tr w:rsidR="007B2CA6" w14:paraId="59690E41" w14:textId="77777777" w:rsidTr="007B2CA6">
        <w:tc>
          <w:tcPr>
            <w:tcW w:w="11096" w:type="dxa"/>
            <w:shd w:val="clear" w:color="auto" w:fill="993366"/>
          </w:tcPr>
          <w:p w14:paraId="741EB740" w14:textId="3D5EACB2" w:rsidR="007B2CA6" w:rsidRDefault="007B2CA6" w:rsidP="007B2CA6">
            <w:pPr>
              <w:pStyle w:val="Heading2"/>
              <w:outlineLvl w:val="1"/>
              <w:rPr>
                <w:rFonts w:cs="Arial"/>
              </w:rPr>
            </w:pPr>
            <w:r>
              <w:t>Benefits</w:t>
            </w:r>
          </w:p>
        </w:tc>
      </w:tr>
      <w:tr w:rsidR="007B2CA6" w14:paraId="051B63F3" w14:textId="77777777" w:rsidTr="00461E2C">
        <w:tc>
          <w:tcPr>
            <w:tcW w:w="11096" w:type="dxa"/>
            <w:vAlign w:val="center"/>
          </w:tcPr>
          <w:p w14:paraId="2DF361BE" w14:textId="262E5976" w:rsidR="00485CC0" w:rsidRPr="00485CC0" w:rsidRDefault="00485CC0" w:rsidP="00461E2C">
            <w:pPr>
              <w:pStyle w:val="ListParagraph"/>
              <w:numPr>
                <w:ilvl w:val="0"/>
                <w:numId w:val="12"/>
              </w:numPr>
            </w:pPr>
            <w:r w:rsidRPr="00485CC0">
              <w:t>Increased student engagement with formative assessment (increased from 50% to 85%)</w:t>
            </w:r>
            <w:r w:rsidR="00461E2C">
              <w:t>.</w:t>
            </w:r>
          </w:p>
          <w:p w14:paraId="6CF991E2" w14:textId="56E83B0E" w:rsidR="00485CC0" w:rsidRPr="00485CC0" w:rsidRDefault="00485CC0" w:rsidP="00461E2C">
            <w:pPr>
              <w:pStyle w:val="ListParagraph"/>
              <w:numPr>
                <w:ilvl w:val="0"/>
                <w:numId w:val="12"/>
              </w:numPr>
            </w:pPr>
            <w:r w:rsidRPr="00485CC0">
              <w:t>Students are better prepared for their summative assessment</w:t>
            </w:r>
            <w:r w:rsidR="00461E2C">
              <w:t>.</w:t>
            </w:r>
          </w:p>
          <w:p w14:paraId="3D5E7F77" w14:textId="658FC0E7" w:rsidR="00485CC0" w:rsidRPr="00485CC0" w:rsidRDefault="00485CC0" w:rsidP="00461E2C">
            <w:pPr>
              <w:pStyle w:val="ListParagraph"/>
              <w:numPr>
                <w:ilvl w:val="0"/>
                <w:numId w:val="12"/>
              </w:numPr>
            </w:pPr>
            <w:r w:rsidRPr="00485CC0">
              <w:t>Students receive feedback they can use in summative assessment</w:t>
            </w:r>
            <w:r w:rsidR="00461E2C">
              <w:t>.</w:t>
            </w:r>
          </w:p>
          <w:p w14:paraId="2E54C522" w14:textId="76B70034" w:rsidR="007B2CA6" w:rsidRDefault="00485CC0" w:rsidP="00461E2C">
            <w:pPr>
              <w:pStyle w:val="ListParagraph"/>
              <w:numPr>
                <w:ilvl w:val="0"/>
                <w:numId w:val="12"/>
              </w:numPr>
            </w:pPr>
            <w:r w:rsidRPr="00485CC0">
              <w:t>The teaching team were able to identify struggling students before summative assessment.</w:t>
            </w:r>
          </w:p>
        </w:tc>
      </w:tr>
    </w:tbl>
    <w:p w14:paraId="7188865E" w14:textId="58C94AA6" w:rsidR="000D6D79" w:rsidRDefault="000D6D79" w:rsidP="00361E50">
      <w:pPr>
        <w:rPr>
          <w:rFonts w:ascii="Arial" w:hAnsi="Arial" w:cs="Arial"/>
        </w:rPr>
      </w:pPr>
    </w:p>
    <w:tbl>
      <w:tblPr>
        <w:tblStyle w:val="TableGrid"/>
        <w:tblW w:w="0" w:type="auto"/>
        <w:tblLook w:val="04A0" w:firstRow="1" w:lastRow="0" w:firstColumn="1" w:lastColumn="0" w:noHBand="0" w:noVBand="1"/>
      </w:tblPr>
      <w:tblGrid>
        <w:gridCol w:w="10870"/>
      </w:tblGrid>
      <w:tr w:rsidR="00C37BCE" w14:paraId="4B626504" w14:textId="77777777" w:rsidTr="00C37BCE">
        <w:tc>
          <w:tcPr>
            <w:tcW w:w="11096" w:type="dxa"/>
            <w:shd w:val="clear" w:color="auto" w:fill="993366"/>
          </w:tcPr>
          <w:p w14:paraId="13EECE05" w14:textId="1DB7D99C" w:rsidR="00C37BCE" w:rsidRDefault="00C37BCE" w:rsidP="00C37BCE">
            <w:pPr>
              <w:pStyle w:val="Heading2"/>
              <w:outlineLvl w:val="1"/>
              <w:rPr>
                <w:rFonts w:cs="Arial"/>
              </w:rPr>
            </w:pPr>
            <w:r>
              <w:lastRenderedPageBreak/>
              <w:t>The Approach</w:t>
            </w:r>
          </w:p>
        </w:tc>
      </w:tr>
      <w:tr w:rsidR="00C37BCE" w14:paraId="1DD6834F" w14:textId="77777777" w:rsidTr="00C37BCE">
        <w:tc>
          <w:tcPr>
            <w:tcW w:w="11096" w:type="dxa"/>
          </w:tcPr>
          <w:p w14:paraId="4777660F" w14:textId="7066EC77" w:rsidR="00485CC0" w:rsidRDefault="00485CC0" w:rsidP="00485CC0">
            <w:r>
              <w:t xml:space="preserve">Students needed to produce four subject based blogs for their summative assessment of this module.  The formative task was for students to produce one sample blog </w:t>
            </w:r>
            <w:r w:rsidR="002C0EB8">
              <w:t xml:space="preserve">from four </w:t>
            </w:r>
            <w:r>
              <w:t xml:space="preserve">for formative feedback by the teaching team.  They were also given an opportunity to ask questions related to content on their other blogs and the assessment in general.  </w:t>
            </w:r>
          </w:p>
          <w:p w14:paraId="4A9328A3" w14:textId="77777777" w:rsidR="00485CC0" w:rsidRDefault="00485CC0" w:rsidP="00485CC0">
            <w:r>
              <w:t>Experience had showed us that students engaging with the feedback had increased their marks.  It also served to reduce anxiety within the Level 6 cohort.</w:t>
            </w:r>
          </w:p>
          <w:p w14:paraId="0A8AD13B" w14:textId="77777777" w:rsidR="00485CC0" w:rsidRDefault="00485CC0" w:rsidP="00485CC0">
            <w:r>
              <w:t xml:space="preserve">The actions taken to encourage engagement with the formative task were as follows: </w:t>
            </w:r>
          </w:p>
          <w:p w14:paraId="0A897A03" w14:textId="320B187C" w:rsidR="00485CC0" w:rsidRPr="00461E2C" w:rsidRDefault="00485CC0" w:rsidP="00461E2C">
            <w:pPr>
              <w:pStyle w:val="ListParagraph"/>
              <w:numPr>
                <w:ilvl w:val="0"/>
                <w:numId w:val="13"/>
              </w:numPr>
            </w:pPr>
            <w:r w:rsidRPr="00461E2C">
              <w:t xml:space="preserve">The formative assessment had a deadline that was repeated in every seminar and </w:t>
            </w:r>
            <w:r w:rsidR="00461E2C" w:rsidRPr="00461E2C">
              <w:t>lecture.</w:t>
            </w:r>
            <w:r w:rsidRPr="00461E2C">
              <w:t xml:space="preserve"> </w:t>
            </w:r>
          </w:p>
          <w:p w14:paraId="1E6ED45E" w14:textId="002E28BD" w:rsidR="00C37BCE" w:rsidRPr="00461E2C" w:rsidRDefault="00485CC0" w:rsidP="00461E2C">
            <w:pPr>
              <w:pStyle w:val="ListParagraph"/>
              <w:numPr>
                <w:ilvl w:val="0"/>
                <w:numId w:val="13"/>
              </w:numPr>
            </w:pPr>
            <w:r w:rsidRPr="00461E2C">
              <w:t>A reminder was presented on the Blackboard site every week from the start of the academic year to the deadline for the formative task</w:t>
            </w:r>
            <w:r w:rsidR="00461E2C">
              <w:t>.</w:t>
            </w:r>
          </w:p>
          <w:p w14:paraId="48995F9E" w14:textId="77777777" w:rsidR="00485CC0" w:rsidRDefault="00485CC0" w:rsidP="00485CC0">
            <w:r>
              <w:rPr>
                <w:noProof/>
                <w:lang w:eastAsia="en-GB"/>
              </w:rPr>
              <w:drawing>
                <wp:inline distT="0" distB="0" distL="0" distR="0" wp14:anchorId="553D96C2" wp14:editId="36CD6093">
                  <wp:extent cx="4956810" cy="1945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56810" cy="1945640"/>
                          </a:xfrm>
                          <a:prstGeom prst="rect">
                            <a:avLst/>
                          </a:prstGeom>
                        </pic:spPr>
                      </pic:pic>
                    </a:graphicData>
                  </a:graphic>
                </wp:inline>
              </w:drawing>
            </w:r>
          </w:p>
          <w:p w14:paraId="70FE6974" w14:textId="21E18C86" w:rsidR="00E93B43" w:rsidRPr="00461E2C" w:rsidRDefault="00E93B43" w:rsidP="00461E2C">
            <w:pPr>
              <w:pStyle w:val="ListParagraph"/>
              <w:numPr>
                <w:ilvl w:val="0"/>
                <w:numId w:val="14"/>
              </w:numPr>
            </w:pPr>
            <w:r w:rsidRPr="00461E2C">
              <w:t xml:space="preserve">The students were required to submit a form to a Blackboard submission point by the specified deadline.  </w:t>
            </w:r>
          </w:p>
          <w:p w14:paraId="6B206ACB" w14:textId="6B2B6006" w:rsidR="00E93B43" w:rsidRPr="00461E2C" w:rsidRDefault="00E93B43" w:rsidP="00461E2C">
            <w:pPr>
              <w:pStyle w:val="ListParagraph"/>
              <w:numPr>
                <w:ilvl w:val="0"/>
                <w:numId w:val="14"/>
              </w:numPr>
            </w:pPr>
            <w:r w:rsidRPr="00461E2C">
              <w:t xml:space="preserve">The form contained their blog access codes and questions related to the assessment.  </w:t>
            </w:r>
          </w:p>
          <w:p w14:paraId="18CA2412" w14:textId="756E5DDF" w:rsidR="00E93B43" w:rsidRPr="00461E2C" w:rsidRDefault="00E93B43" w:rsidP="00461E2C">
            <w:pPr>
              <w:pStyle w:val="ListParagraph"/>
              <w:numPr>
                <w:ilvl w:val="0"/>
                <w:numId w:val="14"/>
              </w:numPr>
            </w:pPr>
            <w:r w:rsidRPr="00461E2C">
              <w:t xml:space="preserve">We checked in with students who </w:t>
            </w:r>
            <w:r w:rsidR="00461E2C" w:rsidRPr="00461E2C">
              <w:t>had not</w:t>
            </w:r>
            <w:r w:rsidRPr="00461E2C">
              <w:t xml:space="preserve"> submitted.</w:t>
            </w:r>
          </w:p>
        </w:tc>
      </w:tr>
    </w:tbl>
    <w:p w14:paraId="3D419C38" w14:textId="77777777" w:rsidR="00C37BCE" w:rsidRDefault="00C37BCE" w:rsidP="00361E50">
      <w:pPr>
        <w:rPr>
          <w:rFonts w:ascii="Arial" w:hAnsi="Arial" w:cs="Arial"/>
        </w:rPr>
      </w:pPr>
    </w:p>
    <w:tbl>
      <w:tblPr>
        <w:tblStyle w:val="TableGrid"/>
        <w:tblW w:w="0" w:type="auto"/>
        <w:tblLook w:val="04A0" w:firstRow="1" w:lastRow="0" w:firstColumn="1" w:lastColumn="0" w:noHBand="0" w:noVBand="1"/>
      </w:tblPr>
      <w:tblGrid>
        <w:gridCol w:w="10870"/>
      </w:tblGrid>
      <w:tr w:rsidR="00C37BCE" w14:paraId="37AF1ADD" w14:textId="77777777" w:rsidTr="00C37BCE">
        <w:tc>
          <w:tcPr>
            <w:tcW w:w="11096" w:type="dxa"/>
            <w:shd w:val="clear" w:color="auto" w:fill="993366"/>
          </w:tcPr>
          <w:p w14:paraId="7CB7F140" w14:textId="3A25B702" w:rsidR="00C37BCE" w:rsidRDefault="00C37BCE" w:rsidP="00C37BCE">
            <w:pPr>
              <w:pStyle w:val="Heading2"/>
              <w:outlineLvl w:val="1"/>
              <w:rPr>
                <w:rFonts w:cs="Arial"/>
              </w:rPr>
            </w:pPr>
            <w:r>
              <w:t>The Outcome / Impact</w:t>
            </w:r>
          </w:p>
        </w:tc>
      </w:tr>
      <w:tr w:rsidR="00C37BCE" w14:paraId="330B563F" w14:textId="77777777" w:rsidTr="00C37BCE">
        <w:tc>
          <w:tcPr>
            <w:tcW w:w="11096" w:type="dxa"/>
          </w:tcPr>
          <w:p w14:paraId="749DEF7A" w14:textId="77777777" w:rsidR="00E93B43" w:rsidRDefault="00E93B43" w:rsidP="00E93B43">
            <w:r>
              <w:t>The engagement with the formative assessment increased from about 50% to 85% of the cohort due to the new formal deadline reminder and submission process. The students appreciated the fact that they were able to ask specific questions about areas of concern.  Students commented that the discursive writing style of blogs is so different to the usual academic assignment submissions and this had given them confidence to know they were on the right lines in terms of both content and style.  It reduced some of their anxieties about the task and reduced incremental assessment questions to the team.  It also gave the students confidence to keep working on their blogs at an early stage.</w:t>
            </w:r>
          </w:p>
          <w:p w14:paraId="53A66F5E" w14:textId="57CA4F52" w:rsidR="00C37BCE" w:rsidRDefault="00E93B43" w:rsidP="00E93B43">
            <w:r>
              <w:t>Using a formal submission point it kept everything in one place, we could see at a glance who had not returned the forms and touch</w:t>
            </w:r>
            <w:r w:rsidR="002C0EB8">
              <w:t>ed</w:t>
            </w:r>
            <w:r>
              <w:t xml:space="preserve"> base with those students.  The simple submission process </w:t>
            </w:r>
            <w:r>
              <w:lastRenderedPageBreak/>
              <w:t xml:space="preserve">helped both us and the students as we were able to provide feedback through the usual Blackboard processes and students knew how to readily access it.  </w:t>
            </w:r>
          </w:p>
        </w:tc>
      </w:tr>
    </w:tbl>
    <w:p w14:paraId="21AF2FCB" w14:textId="77777777" w:rsidR="00C37BCE" w:rsidRDefault="00C37BCE" w:rsidP="00361E50">
      <w:pPr>
        <w:rPr>
          <w:rFonts w:ascii="Arial" w:hAnsi="Arial" w:cs="Arial"/>
        </w:rPr>
      </w:pPr>
    </w:p>
    <w:tbl>
      <w:tblPr>
        <w:tblStyle w:val="TableGrid"/>
        <w:tblW w:w="0" w:type="auto"/>
        <w:tblLook w:val="04A0" w:firstRow="1" w:lastRow="0" w:firstColumn="1" w:lastColumn="0" w:noHBand="0" w:noVBand="1"/>
      </w:tblPr>
      <w:tblGrid>
        <w:gridCol w:w="10870"/>
      </w:tblGrid>
      <w:tr w:rsidR="00C37BCE" w14:paraId="19887047" w14:textId="77777777" w:rsidTr="00C37BCE">
        <w:tc>
          <w:tcPr>
            <w:tcW w:w="11096" w:type="dxa"/>
            <w:shd w:val="clear" w:color="auto" w:fill="993366"/>
          </w:tcPr>
          <w:p w14:paraId="4595A930" w14:textId="5BCFE5C7" w:rsidR="00C37BCE" w:rsidRDefault="00C37BCE" w:rsidP="00C37BCE">
            <w:pPr>
              <w:pStyle w:val="Heading2"/>
              <w:outlineLvl w:val="1"/>
              <w:rPr>
                <w:rFonts w:cs="Arial"/>
              </w:rPr>
            </w:pPr>
            <w:r>
              <w:t>Future Developments</w:t>
            </w:r>
          </w:p>
        </w:tc>
      </w:tr>
      <w:tr w:rsidR="00C37BCE" w14:paraId="44D21F9F" w14:textId="77777777" w:rsidTr="00C37BCE">
        <w:tc>
          <w:tcPr>
            <w:tcW w:w="11096" w:type="dxa"/>
          </w:tcPr>
          <w:p w14:paraId="22482578" w14:textId="26143A5C" w:rsidR="00C37BCE" w:rsidRDefault="00E93B43" w:rsidP="00361E50">
            <w:r w:rsidRPr="00E93B43">
              <w:t>This approach can be scaled up to any number of students</w:t>
            </w:r>
            <w:r w:rsidR="00461E2C">
              <w:t>.</w:t>
            </w:r>
          </w:p>
        </w:tc>
      </w:tr>
    </w:tbl>
    <w:p w14:paraId="05E60B1E" w14:textId="77777777" w:rsidR="00C37BCE" w:rsidRDefault="00C37BCE" w:rsidP="00361E50">
      <w:pPr>
        <w:rPr>
          <w:rFonts w:ascii="Arial" w:hAnsi="Arial" w:cs="Arial"/>
        </w:rPr>
      </w:pPr>
    </w:p>
    <w:tbl>
      <w:tblPr>
        <w:tblStyle w:val="TableGrid"/>
        <w:tblW w:w="0" w:type="auto"/>
        <w:tblLook w:val="04A0" w:firstRow="1" w:lastRow="0" w:firstColumn="1" w:lastColumn="0" w:noHBand="0" w:noVBand="1"/>
      </w:tblPr>
      <w:tblGrid>
        <w:gridCol w:w="10870"/>
      </w:tblGrid>
      <w:tr w:rsidR="00C37BCE" w14:paraId="47E0114F" w14:textId="77777777" w:rsidTr="00C37BCE">
        <w:tc>
          <w:tcPr>
            <w:tcW w:w="11096" w:type="dxa"/>
            <w:shd w:val="clear" w:color="auto" w:fill="993366"/>
          </w:tcPr>
          <w:p w14:paraId="61279DDD" w14:textId="518A258A" w:rsidR="00C37BCE" w:rsidRDefault="00C37BCE" w:rsidP="00C37BCE">
            <w:pPr>
              <w:pStyle w:val="Heading2"/>
              <w:outlineLvl w:val="1"/>
              <w:rPr>
                <w:rFonts w:cs="Arial"/>
              </w:rPr>
            </w:pPr>
            <w:r>
              <w:t>Recommendations</w:t>
            </w:r>
          </w:p>
        </w:tc>
      </w:tr>
      <w:tr w:rsidR="00C37BCE" w14:paraId="27D36762" w14:textId="77777777" w:rsidTr="00C37BCE">
        <w:tc>
          <w:tcPr>
            <w:tcW w:w="11096" w:type="dxa"/>
          </w:tcPr>
          <w:p w14:paraId="19403652" w14:textId="6E4AD9BC" w:rsidR="00E93B43" w:rsidRPr="00461E2C" w:rsidRDefault="00E93B43" w:rsidP="00461E2C">
            <w:pPr>
              <w:pStyle w:val="ListParagraph"/>
              <w:numPr>
                <w:ilvl w:val="0"/>
                <w:numId w:val="15"/>
              </w:numPr>
            </w:pPr>
            <w:r w:rsidRPr="00461E2C">
              <w:t xml:space="preserve">Put all the information in one place where students regularly access information so it </w:t>
            </w:r>
            <w:r w:rsidR="00461E2C" w:rsidRPr="00461E2C">
              <w:t>cannot</w:t>
            </w:r>
            <w:r w:rsidRPr="00461E2C">
              <w:t xml:space="preserve"> be missed</w:t>
            </w:r>
            <w:r w:rsidR="00461E2C" w:rsidRPr="00461E2C">
              <w:t>.</w:t>
            </w:r>
          </w:p>
          <w:p w14:paraId="4F70B317" w14:textId="48FBAFC2" w:rsidR="00E93B43" w:rsidRPr="00461E2C" w:rsidRDefault="00E93B43" w:rsidP="00461E2C">
            <w:pPr>
              <w:pStyle w:val="ListParagraph"/>
              <w:numPr>
                <w:ilvl w:val="0"/>
                <w:numId w:val="15"/>
              </w:numPr>
            </w:pPr>
            <w:r w:rsidRPr="00461E2C">
              <w:t xml:space="preserve">Repeat messages more than once so they </w:t>
            </w:r>
            <w:r w:rsidR="00461E2C" w:rsidRPr="00461E2C">
              <w:t>cannot</w:t>
            </w:r>
            <w:r w:rsidRPr="00461E2C">
              <w:t xml:space="preserve"> forget</w:t>
            </w:r>
            <w:r w:rsidR="00461E2C" w:rsidRPr="00461E2C">
              <w:t>.</w:t>
            </w:r>
          </w:p>
          <w:p w14:paraId="31936840" w14:textId="5814D78E" w:rsidR="00E93B43" w:rsidRPr="00461E2C" w:rsidRDefault="00E93B43" w:rsidP="00461E2C">
            <w:pPr>
              <w:pStyle w:val="ListParagraph"/>
              <w:numPr>
                <w:ilvl w:val="0"/>
                <w:numId w:val="15"/>
              </w:numPr>
            </w:pPr>
            <w:r w:rsidRPr="00461E2C">
              <w:t xml:space="preserve">Use familiar systems </w:t>
            </w:r>
            <w:proofErr w:type="spellStart"/>
            <w:r w:rsidRPr="00461E2C">
              <w:t>eg</w:t>
            </w:r>
            <w:proofErr w:type="spellEnd"/>
            <w:r w:rsidRPr="00461E2C">
              <w:t xml:space="preserve"> submission points</w:t>
            </w:r>
            <w:r w:rsidR="00461E2C" w:rsidRPr="00461E2C">
              <w:t>.</w:t>
            </w:r>
          </w:p>
          <w:p w14:paraId="7F13327E" w14:textId="329E4D6F" w:rsidR="00E93B43" w:rsidRPr="00461E2C" w:rsidRDefault="00E93B43" w:rsidP="00461E2C">
            <w:pPr>
              <w:pStyle w:val="ListParagraph"/>
              <w:numPr>
                <w:ilvl w:val="0"/>
                <w:numId w:val="15"/>
              </w:numPr>
            </w:pPr>
            <w:r w:rsidRPr="00461E2C">
              <w:t>Ensure timing is signposted early so students know it is going to happen</w:t>
            </w:r>
            <w:r w:rsidR="00461E2C" w:rsidRPr="00461E2C">
              <w:t>.</w:t>
            </w:r>
          </w:p>
          <w:p w14:paraId="7A04DE5C" w14:textId="75388F68" w:rsidR="00C37BCE" w:rsidRDefault="00E93B43" w:rsidP="00461E2C">
            <w:pPr>
              <w:pStyle w:val="ListParagraph"/>
              <w:numPr>
                <w:ilvl w:val="0"/>
                <w:numId w:val="15"/>
              </w:numPr>
            </w:pPr>
            <w:r w:rsidRPr="00461E2C">
              <w:t xml:space="preserve">Manage expectations by using a form – then it is clear to the students what you will and </w:t>
            </w:r>
            <w:r w:rsidR="00461E2C" w:rsidRPr="00461E2C">
              <w:t>will not</w:t>
            </w:r>
            <w:r w:rsidRPr="00461E2C">
              <w:t xml:space="preserve"> be offering feedback on.</w:t>
            </w:r>
          </w:p>
        </w:tc>
      </w:tr>
    </w:tbl>
    <w:p w14:paraId="28565AA3" w14:textId="3B3035D4" w:rsidR="00C37BCE" w:rsidRDefault="00C37BCE" w:rsidP="000D7D91">
      <w:pPr>
        <w:rPr>
          <w:rFonts w:ascii="Arial" w:hAnsi="Arial" w:cs="Arial"/>
        </w:rPr>
      </w:pPr>
    </w:p>
    <w:p w14:paraId="438DC6FB" w14:textId="6D3D571C" w:rsidR="00060714" w:rsidRDefault="00060714" w:rsidP="000D7D91">
      <w:pPr>
        <w:rPr>
          <w:rFonts w:ascii="Arial" w:hAnsi="Arial" w:cs="Arial"/>
        </w:rPr>
      </w:pPr>
      <w:r>
        <w:rPr>
          <w:rFonts w:ascii="Arial" w:hAnsi="Arial" w:cs="Arial"/>
        </w:rPr>
        <w:t xml:space="preserve">Want to share your case study with the wider academic community? Send to </w:t>
      </w:r>
      <w:hyperlink r:id="rId14" w:history="1">
        <w:r w:rsidRPr="0040017C">
          <w:rPr>
            <w:rStyle w:val="Hyperlink"/>
            <w:rFonts w:ascii="Arial" w:hAnsi="Arial" w:cs="Arial"/>
          </w:rPr>
          <w:t>Academic Development &amp; Diversity</w:t>
        </w:r>
      </w:hyperlink>
      <w:r>
        <w:rPr>
          <w:rFonts w:ascii="Arial" w:hAnsi="Arial" w:cs="Arial"/>
        </w:rPr>
        <w:t xml:space="preserve"> and we’ll host on our Academic Essentials: </w:t>
      </w:r>
      <w:hyperlink r:id="rId15" w:history="1">
        <w:r w:rsidRPr="000D4717">
          <w:rPr>
            <w:rStyle w:val="Hyperlink"/>
            <w:rFonts w:ascii="Arial" w:hAnsi="Arial" w:cs="Arial"/>
          </w:rPr>
          <w:t>Case Study</w:t>
        </w:r>
      </w:hyperlink>
      <w:r>
        <w:rPr>
          <w:rFonts w:ascii="Arial" w:hAnsi="Arial" w:cs="Arial"/>
        </w:rPr>
        <w:t xml:space="preserve"> page for wider publication.</w:t>
      </w:r>
    </w:p>
    <w:sectPr w:rsidR="00060714" w:rsidSect="00361E50">
      <w:footerReference w:type="default" r:id="rId16"/>
      <w:headerReference w:type="first" r:id="rId17"/>
      <w:footerReference w:type="first" r:id="rId18"/>
      <w:pgSz w:w="11900" w:h="16840" w:code="9"/>
      <w:pgMar w:top="510" w:right="510" w:bottom="510" w:left="510" w:header="51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AD8B8" w14:textId="77777777" w:rsidR="00B81EE1" w:rsidRDefault="00B81EE1" w:rsidP="00732810">
      <w:pPr>
        <w:spacing w:after="0"/>
      </w:pPr>
      <w:r>
        <w:separator/>
      </w:r>
    </w:p>
  </w:endnote>
  <w:endnote w:type="continuationSeparator" w:id="0">
    <w:p w14:paraId="6BBDA752" w14:textId="77777777" w:rsidR="00B81EE1" w:rsidRDefault="00B81EE1"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S Clerkenwell">
    <w:panose1 w:val="02000503020000020004"/>
    <w:charset w:val="00"/>
    <w:family w:val="modern"/>
    <w:notTrueType/>
    <w:pitch w:val="variable"/>
    <w:sig w:usb0="800000AF" w:usb1="5000004A" w:usb2="00000000" w:usb3="00000000" w:csb0="0000009B" w:csb1="00000000"/>
  </w:font>
  <w:font w:name="FS Clerkenwell Light">
    <w:panose1 w:val="02000306080000020004"/>
    <w:charset w:val="00"/>
    <w:family w:val="modern"/>
    <w:notTrueType/>
    <w:pitch w:val="variable"/>
    <w:sig w:usb0="800000AF" w:usb1="5000204A" w:usb2="00000000" w:usb3="00000000" w:csb0="0000009B"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855452"/>
      <w:docPartObj>
        <w:docPartGallery w:val="Page Numbers (Bottom of Page)"/>
        <w:docPartUnique/>
      </w:docPartObj>
    </w:sdtPr>
    <w:sdtEndPr>
      <w:rPr>
        <w:noProof/>
      </w:rPr>
    </w:sdtEndPr>
    <w:sdtContent>
      <w:p w14:paraId="74988B26" w14:textId="1332934F" w:rsidR="007E3FFA" w:rsidRDefault="007E3FFA">
        <w:pPr>
          <w:pStyle w:val="Footer"/>
          <w:jc w:val="right"/>
        </w:pPr>
        <w:r>
          <w:rPr>
            <w:noProof/>
          </w:rPr>
          <w:t>2</w:t>
        </w:r>
      </w:p>
    </w:sdtContent>
  </w:sdt>
  <w:p w14:paraId="7CCCBCBE" w14:textId="77777777" w:rsidR="007E3FFA" w:rsidRPr="000D7D91" w:rsidRDefault="007E3FFA" w:rsidP="007E3FFA">
    <w:pPr>
      <w:pStyle w:val="Footer"/>
      <w:rPr>
        <w:rFonts w:ascii="Arial" w:hAnsi="Arial" w:cs="Arial"/>
      </w:rPr>
    </w:pPr>
    <w:r w:rsidRPr="000D7D91">
      <w:rPr>
        <w:rFonts w:ascii="Arial" w:hAnsi="Arial" w:cs="Arial"/>
      </w:rPr>
      <w:t>Academic Essentials – case study template: V1 May 2021</w:t>
    </w:r>
  </w:p>
  <w:p w14:paraId="16E4E4F1" w14:textId="77777777" w:rsidR="00461E2C" w:rsidRDefault="00461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9C94" w14:textId="1BE0FA09" w:rsidR="008E009D" w:rsidRPr="000D7D91" w:rsidRDefault="000D7D91">
    <w:pPr>
      <w:pStyle w:val="Footer"/>
      <w:rPr>
        <w:rFonts w:ascii="Arial" w:hAnsi="Arial" w:cs="Arial"/>
      </w:rPr>
    </w:pPr>
    <w:r w:rsidRPr="000D7D91">
      <w:rPr>
        <w:rFonts w:ascii="Arial" w:hAnsi="Arial" w:cs="Arial"/>
      </w:rPr>
      <w:t>Academic Essentials – case study template: V1 May 2021</w:t>
    </w:r>
  </w:p>
  <w:p w14:paraId="2AF64923" w14:textId="77777777" w:rsidR="008E009D" w:rsidRDefault="008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665A1" w14:textId="77777777" w:rsidR="00B81EE1" w:rsidRDefault="00B81EE1" w:rsidP="00732810">
      <w:pPr>
        <w:spacing w:after="0"/>
      </w:pPr>
      <w:r>
        <w:separator/>
      </w:r>
    </w:p>
  </w:footnote>
  <w:footnote w:type="continuationSeparator" w:id="0">
    <w:p w14:paraId="578CDA20" w14:textId="77777777" w:rsidR="00B81EE1" w:rsidRDefault="00B81EE1" w:rsidP="007328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EA99" w14:textId="77777777" w:rsidR="008464A2" w:rsidRDefault="008464A2">
    <w:pPr>
      <w:pStyle w:val="Header"/>
    </w:pPr>
    <w:r>
      <w:rPr>
        <w:noProof/>
        <w:lang w:eastAsia="en-GB"/>
      </w:rPr>
      <w:drawing>
        <wp:anchor distT="0" distB="0" distL="114300" distR="114300" simplePos="0" relativeHeight="251659264" behindDoc="0" locked="0" layoutInCell="1" allowOverlap="1" wp14:anchorId="6B5FEA9A" wp14:editId="6B5FEA9B">
          <wp:simplePos x="0" y="0"/>
          <wp:positionH relativeFrom="column">
            <wp:posOffset>-23812</wp:posOffset>
          </wp:positionH>
          <wp:positionV relativeFrom="paragraph">
            <wp:posOffset>-55245</wp:posOffset>
          </wp:positionV>
          <wp:extent cx="1547812" cy="82391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1">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8F5"/>
    <w:multiLevelType w:val="hybridMultilevel"/>
    <w:tmpl w:val="5630D1EC"/>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90415"/>
    <w:multiLevelType w:val="hybridMultilevel"/>
    <w:tmpl w:val="AFC6CF8A"/>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AD49B1"/>
    <w:multiLevelType w:val="hybridMultilevel"/>
    <w:tmpl w:val="940C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A86515"/>
    <w:multiLevelType w:val="hybridMultilevel"/>
    <w:tmpl w:val="6732634C"/>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E2158D"/>
    <w:multiLevelType w:val="hybridMultilevel"/>
    <w:tmpl w:val="942E0E1A"/>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2579B6"/>
    <w:multiLevelType w:val="hybridMultilevel"/>
    <w:tmpl w:val="C2C237A6"/>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2"/>
  </w:num>
  <w:num w:numId="11">
    <w:abstractNumId w:val="6"/>
  </w:num>
  <w:num w:numId="12">
    <w:abstractNumId w:val="0"/>
  </w:num>
  <w:num w:numId="13">
    <w:abstractNumId w:val="5"/>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810"/>
    <w:rsid w:val="00011BEB"/>
    <w:rsid w:val="00057AA2"/>
    <w:rsid w:val="00060714"/>
    <w:rsid w:val="00070D32"/>
    <w:rsid w:val="00077296"/>
    <w:rsid w:val="000D4717"/>
    <w:rsid w:val="000D6D79"/>
    <w:rsid w:val="000D7D91"/>
    <w:rsid w:val="000F2E11"/>
    <w:rsid w:val="00107F5C"/>
    <w:rsid w:val="001A21BE"/>
    <w:rsid w:val="00266118"/>
    <w:rsid w:val="002B6AE8"/>
    <w:rsid w:val="002C0EB8"/>
    <w:rsid w:val="002D2372"/>
    <w:rsid w:val="002F1FCE"/>
    <w:rsid w:val="002F67CF"/>
    <w:rsid w:val="0034457B"/>
    <w:rsid w:val="00361E50"/>
    <w:rsid w:val="003F11CF"/>
    <w:rsid w:val="0040017C"/>
    <w:rsid w:val="0042154D"/>
    <w:rsid w:val="00461E2C"/>
    <w:rsid w:val="004740A2"/>
    <w:rsid w:val="00485CC0"/>
    <w:rsid w:val="004F1189"/>
    <w:rsid w:val="00515D93"/>
    <w:rsid w:val="00516D03"/>
    <w:rsid w:val="00523E2E"/>
    <w:rsid w:val="00596F05"/>
    <w:rsid w:val="0060181C"/>
    <w:rsid w:val="00620054"/>
    <w:rsid w:val="00684455"/>
    <w:rsid w:val="00715EB9"/>
    <w:rsid w:val="00732810"/>
    <w:rsid w:val="007B2CA6"/>
    <w:rsid w:val="007E3FFA"/>
    <w:rsid w:val="00801BDB"/>
    <w:rsid w:val="008464A2"/>
    <w:rsid w:val="008605D4"/>
    <w:rsid w:val="008632B6"/>
    <w:rsid w:val="00871288"/>
    <w:rsid w:val="008B7BE7"/>
    <w:rsid w:val="008E009D"/>
    <w:rsid w:val="008F0D60"/>
    <w:rsid w:val="00927C95"/>
    <w:rsid w:val="009B3457"/>
    <w:rsid w:val="009F7D72"/>
    <w:rsid w:val="00A3242E"/>
    <w:rsid w:val="00A50118"/>
    <w:rsid w:val="00A5522F"/>
    <w:rsid w:val="00AC3725"/>
    <w:rsid w:val="00B42B3D"/>
    <w:rsid w:val="00B81EE1"/>
    <w:rsid w:val="00BE2523"/>
    <w:rsid w:val="00C30C32"/>
    <w:rsid w:val="00C318D5"/>
    <w:rsid w:val="00C37BCE"/>
    <w:rsid w:val="00C728FD"/>
    <w:rsid w:val="00CB79A2"/>
    <w:rsid w:val="00CF2130"/>
    <w:rsid w:val="00D02626"/>
    <w:rsid w:val="00D43DFB"/>
    <w:rsid w:val="00D72479"/>
    <w:rsid w:val="00DA61D3"/>
    <w:rsid w:val="00E236F7"/>
    <w:rsid w:val="00E4381C"/>
    <w:rsid w:val="00E86DFC"/>
    <w:rsid w:val="00E93B43"/>
    <w:rsid w:val="00F850F4"/>
    <w:rsid w:val="00FB7D85"/>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B5FEA8F"/>
  <w15:docId w15:val="{AD4C5B55-143E-4A79-8E28-D70FD748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27C95"/>
    <w:pPr>
      <w:keepNext/>
      <w:keepLines/>
      <w:spacing w:before="200" w:after="0"/>
      <w:outlineLvl w:val="1"/>
    </w:pPr>
    <w:rPr>
      <w:rFonts w:ascii="Arial" w:eastAsiaTheme="majorEastAsia" w:hAnsi="Arial" w:cstheme="majorBidi"/>
      <w:b/>
      <w:bCs/>
      <w:color w:val="FFFFFF" w:themeColor="background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rsid w:val="00927C95"/>
    <w:rPr>
      <w:rFonts w:ascii="Arial" w:eastAsiaTheme="majorEastAsia" w:hAnsi="Arial" w:cstheme="majorBidi"/>
      <w:b/>
      <w:bCs/>
      <w:color w:val="FFFFFF" w:themeColor="background1"/>
      <w:sz w:val="28"/>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F850F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50F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0017C"/>
    <w:rPr>
      <w:color w:val="0000FF" w:themeColor="hyperlink"/>
      <w:u w:val="single"/>
    </w:rPr>
  </w:style>
  <w:style w:type="character" w:customStyle="1" w:styleId="UnresolvedMention1">
    <w:name w:val="Unresolved Mention1"/>
    <w:basedOn w:val="DefaultParagraphFont"/>
    <w:uiPriority w:val="99"/>
    <w:semiHidden/>
    <w:unhideWhenUsed/>
    <w:rsid w:val="0040017C"/>
    <w:rPr>
      <w:color w:val="605E5C"/>
      <w:shd w:val="clear" w:color="auto" w:fill="E1DFDD"/>
    </w:rPr>
  </w:style>
  <w:style w:type="paragraph" w:styleId="ListParagraph">
    <w:name w:val="List Paragraph"/>
    <w:basedOn w:val="Normal"/>
    <w:uiPriority w:val="34"/>
    <w:qFormat/>
    <w:rsid w:val="00485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51E7327BD7F42B5B297990F7890C9" ma:contentTypeVersion="11" ma:contentTypeDescription="Create a new document." ma:contentTypeScope="" ma:versionID="4861d8f68fe1cd35e34f8f3d92bf1567">
  <xsd:schema xmlns:xsd="http://www.w3.org/2001/XMLSchema" xmlns:xs="http://www.w3.org/2001/XMLSchema" xmlns:p="http://schemas.microsoft.com/office/2006/metadata/properties" xmlns:ns1="http://schemas.microsoft.com/sharepoint/v3" xmlns:ns2="17335414-664a-494f-b55c-108cc6415f91" targetNamespace="http://schemas.microsoft.com/office/2006/metadata/properties" ma:root="true" ma:fieldsID="3d800b304fa3f2476459f4d018acd483" ns1:_="" ns2:_="">
    <xsd:import namespace="http://schemas.microsoft.com/sharepoint/v3"/>
    <xsd:import namespace="17335414-664a-494f-b55c-108cc6415f9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335414-664a-494f-b55c-108cc6415f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752464-D386-48F3-BC8C-D8CEF131E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335414-664a-494f-b55c-108cc6415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0D9F36-0EBD-4B1A-9FC4-161A6AEAA0C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B7FE706-5E05-4979-B062-422EE8A17A91}">
  <ds:schemaRefs>
    <ds:schemaRef ds:uri="http://schemas.openxmlformats.org/officeDocument/2006/bibliography"/>
  </ds:schemaRefs>
</ds:datastoreItem>
</file>

<file path=customXml/itemProps4.xml><?xml version="1.0" encoding="utf-8"?>
<ds:datastoreItem xmlns:ds="http://schemas.openxmlformats.org/officeDocument/2006/customXml" ds:itemID="{7A069F0B-1A6E-4324-85A7-6AEB2E2CA4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Lits</dc:creator>
  <cp:keywords/>
  <dc:description/>
  <cp:lastModifiedBy>Kay, Helen</cp:lastModifiedBy>
  <cp:revision>2</cp:revision>
  <dcterms:created xsi:type="dcterms:W3CDTF">2021-07-05T15:49:00Z</dcterms:created>
  <dcterms:modified xsi:type="dcterms:W3CDTF">2021-07-05T15:49:00Z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0x01010073151E7327BD7F42B5B297990F7890C9</vt:lpwstr>
  </property>
  <property fmtid="{D5CDD505-2E9C-101B-9397-08002B2CF9AE}" pid="4" name="Order">
    <vt:r8>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