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B5FEA8F" w14:textId="77777777" w:rsidR="002D2372" w:rsidRDefault="002D2372" w:rsidP="002D2372">
      <w:pPr>
        <w:rPr>
          <w:rFonts w:ascii="Arial" w:hAnsi="Arial" w:cs="Arial"/>
        </w:rPr>
      </w:pPr>
    </w:p>
    <w:p w14:paraId="6B5FEA90" w14:textId="77777777" w:rsidR="00361E50" w:rsidRDefault="00361E50" w:rsidP="002D2372">
      <w:pPr>
        <w:rPr>
          <w:rFonts w:ascii="Arial" w:hAnsi="Arial" w:cs="Arial"/>
        </w:rPr>
      </w:pPr>
    </w:p>
    <w:p w14:paraId="6B5FEA91" w14:textId="77777777" w:rsidR="002D2372" w:rsidRDefault="002D2372" w:rsidP="002D2372">
      <w:pPr>
        <w:rPr>
          <w:rFonts w:ascii="Arial" w:hAnsi="Arial" w:cs="Arial"/>
        </w:rPr>
      </w:pPr>
    </w:p>
    <w:p w14:paraId="6B5FEA92" w14:textId="764FEDDE" w:rsidR="002D2372" w:rsidRPr="00F850F4" w:rsidRDefault="00D72479" w:rsidP="00F850F4">
      <w:pPr>
        <w:pStyle w:val="Title"/>
        <w:rPr>
          <w:color w:val="7A003A"/>
        </w:rPr>
      </w:pPr>
      <w:r w:rsidRPr="00F850F4">
        <w:rPr>
          <w:color w:val="7A003A"/>
        </w:rPr>
        <w:t>An Academic Essentials Case Study</w:t>
      </w:r>
    </w:p>
    <w:p w14:paraId="65DE71C6" w14:textId="77777777" w:rsidR="00F850F4" w:rsidRDefault="00F850F4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2687"/>
        <w:gridCol w:w="6662"/>
      </w:tblGrid>
      <w:tr w:rsidR="00E93B43" w14:paraId="275BC02D" w14:textId="071405D6" w:rsidTr="00461E2C">
        <w:tc>
          <w:tcPr>
            <w:tcW w:w="1419" w:type="dxa"/>
            <w:shd w:val="clear" w:color="auto" w:fill="993366"/>
            <w:vAlign w:val="center"/>
          </w:tcPr>
          <w:p w14:paraId="1F921170" w14:textId="2D0F0F7F" w:rsidR="00E93B43" w:rsidRPr="00871288" w:rsidRDefault="00E93B43" w:rsidP="00461E2C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7128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Title</w:t>
            </w:r>
          </w:p>
        </w:tc>
        <w:tc>
          <w:tcPr>
            <w:tcW w:w="9349" w:type="dxa"/>
            <w:gridSpan w:val="2"/>
            <w:vAlign w:val="center"/>
          </w:tcPr>
          <w:p w14:paraId="41B3BCB8" w14:textId="4E6EDBD3" w:rsidR="00E93B43" w:rsidRDefault="00E61D34" w:rsidP="002B6AE8">
            <w:pPr>
              <w:jc w:val="center"/>
            </w:pPr>
            <w:r>
              <w:t xml:space="preserve">Formative Feedback for Level 4 </w:t>
            </w:r>
            <w:r w:rsidR="007A5D3B">
              <w:t>D</w:t>
            </w:r>
            <w:r w:rsidR="007D4E80">
              <w:t>ata Analysis for Business Decisions &amp; Financial An</w:t>
            </w:r>
            <w:r w:rsidR="002174B6">
              <w:t xml:space="preserve">alysis for </w:t>
            </w:r>
            <w:r w:rsidR="004413AC">
              <w:t>Business Decisions</w:t>
            </w:r>
          </w:p>
        </w:tc>
      </w:tr>
      <w:tr w:rsidR="00E93B43" w14:paraId="794CE34B" w14:textId="64CE2917" w:rsidTr="00461E2C">
        <w:tc>
          <w:tcPr>
            <w:tcW w:w="1419" w:type="dxa"/>
            <w:shd w:val="clear" w:color="auto" w:fill="993366"/>
            <w:vAlign w:val="center"/>
          </w:tcPr>
          <w:p w14:paraId="05E85651" w14:textId="1B767927" w:rsidR="00E93B43" w:rsidRPr="00871288" w:rsidRDefault="00E93B43" w:rsidP="00461E2C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7128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Brief</w:t>
            </w:r>
          </w:p>
        </w:tc>
        <w:tc>
          <w:tcPr>
            <w:tcW w:w="9349" w:type="dxa"/>
            <w:gridSpan w:val="2"/>
            <w:vAlign w:val="center"/>
          </w:tcPr>
          <w:p w14:paraId="3D441E58" w14:textId="6BFC08D7" w:rsidR="00E61D34" w:rsidRDefault="00E61D34" w:rsidP="00E61D34">
            <w:pPr>
              <w:jc w:val="center"/>
            </w:pPr>
            <w:bookmarkStart w:id="0" w:name="_Hlk76394334"/>
            <w:r>
              <w:t>The use of formative feedback to support L4 student assessment preparation for their first summative reflection.</w:t>
            </w:r>
            <w:bookmarkEnd w:id="0"/>
            <w:r>
              <w:t xml:space="preserve">  </w:t>
            </w:r>
          </w:p>
        </w:tc>
      </w:tr>
      <w:tr w:rsidR="00E93B43" w14:paraId="04DF30A8" w14:textId="62ED0DBE" w:rsidTr="00461E2C">
        <w:trPr>
          <w:trHeight w:val="558"/>
        </w:trPr>
        <w:tc>
          <w:tcPr>
            <w:tcW w:w="1419" w:type="dxa"/>
            <w:vMerge w:val="restart"/>
            <w:shd w:val="clear" w:color="auto" w:fill="993366"/>
          </w:tcPr>
          <w:p w14:paraId="15B89F79" w14:textId="1A2774C2" w:rsidR="00E93B43" w:rsidRPr="00871288" w:rsidRDefault="00E93B43" w:rsidP="00461E2C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87128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Profile</w:t>
            </w:r>
          </w:p>
        </w:tc>
        <w:tc>
          <w:tcPr>
            <w:tcW w:w="2687" w:type="dxa"/>
            <w:vAlign w:val="center"/>
          </w:tcPr>
          <w:p w14:paraId="4CD3E84F" w14:textId="2DC98FD0" w:rsidR="00E93B43" w:rsidRPr="00E93B43" w:rsidRDefault="00E93B43" w:rsidP="00461E2C">
            <w:r>
              <w:rPr>
                <w:b/>
                <w:bCs/>
              </w:rPr>
              <w:t>Tutor names</w:t>
            </w:r>
          </w:p>
        </w:tc>
        <w:tc>
          <w:tcPr>
            <w:tcW w:w="6662" w:type="dxa"/>
          </w:tcPr>
          <w:p w14:paraId="66CA95BC" w14:textId="1C4A09C2" w:rsidR="00E93B43" w:rsidRPr="00E93B43" w:rsidRDefault="00E61D34" w:rsidP="00E93B43">
            <w:bookmarkStart w:id="1" w:name="_Hlk76394349"/>
            <w:r>
              <w:t>Jayne Revill</w:t>
            </w:r>
            <w:r w:rsidR="005D0E96">
              <w:t xml:space="preserve"> &amp; </w:t>
            </w:r>
            <w:r w:rsidR="00BF6222">
              <w:t>Tony O’Brien</w:t>
            </w:r>
            <w:bookmarkEnd w:id="1"/>
          </w:p>
        </w:tc>
      </w:tr>
      <w:tr w:rsidR="00E93B43" w14:paraId="5DC93010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6EFE922C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B5E7BFA" w14:textId="66FAC946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662" w:type="dxa"/>
          </w:tcPr>
          <w:p w14:paraId="373A973F" w14:textId="30831F86" w:rsidR="00BF6222" w:rsidRPr="00E61D34" w:rsidRDefault="001558FB" w:rsidP="00146D64">
            <w:r>
              <w:t>j.c.revill@shu.ac.uk</w:t>
            </w:r>
            <w:r w:rsidR="00E61D34">
              <w:t xml:space="preserve"> </w:t>
            </w:r>
            <w:r w:rsidR="00146D64">
              <w:t xml:space="preserve">and </w:t>
            </w:r>
            <w:proofErr w:type="gramStart"/>
            <w:r w:rsidR="00146D64">
              <w:t>a.o’brien</w:t>
            </w:r>
            <w:proofErr w:type="gramEnd"/>
            <w:r w:rsidR="00146D64">
              <w:t>@shu.ac.uk</w:t>
            </w:r>
          </w:p>
        </w:tc>
      </w:tr>
      <w:tr w:rsidR="00E93B43" w14:paraId="68058436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0A45D066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1400E94" w14:textId="7470FDE7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College</w:t>
            </w:r>
          </w:p>
        </w:tc>
        <w:tc>
          <w:tcPr>
            <w:tcW w:w="6662" w:type="dxa"/>
          </w:tcPr>
          <w:p w14:paraId="335892D3" w14:textId="491EB03B" w:rsidR="00E93B43" w:rsidRPr="00E61D34" w:rsidRDefault="00E61D34" w:rsidP="00361E50">
            <w:r w:rsidRPr="00E61D34">
              <w:t>BTE</w:t>
            </w:r>
          </w:p>
        </w:tc>
      </w:tr>
      <w:tr w:rsidR="00E93B43" w14:paraId="6DF06CB9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36AE0A79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072861B" w14:textId="6A8E7DF6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6662" w:type="dxa"/>
          </w:tcPr>
          <w:p w14:paraId="4DD48B4A" w14:textId="5B0873D1" w:rsidR="00E93B43" w:rsidRPr="00E61D34" w:rsidRDefault="00146D64" w:rsidP="00361E50">
            <w:r>
              <w:t>Finance Accounting &amp; B</w:t>
            </w:r>
            <w:r w:rsidR="00ED7C13">
              <w:t>usiness Systems</w:t>
            </w:r>
          </w:p>
        </w:tc>
      </w:tr>
      <w:tr w:rsidR="00E93B43" w14:paraId="10BC29D9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3B87E30D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0EC08F59" w14:textId="778339E7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Size of cohort</w:t>
            </w:r>
          </w:p>
        </w:tc>
        <w:tc>
          <w:tcPr>
            <w:tcW w:w="6662" w:type="dxa"/>
          </w:tcPr>
          <w:p w14:paraId="671E4EA6" w14:textId="6D6CE3D0" w:rsidR="00E93B43" w:rsidRPr="00E61D34" w:rsidRDefault="004F0DCF" w:rsidP="009B3457">
            <w:proofErr w:type="spellStart"/>
            <w:r>
              <w:t>DAfBD</w:t>
            </w:r>
            <w:proofErr w:type="spellEnd"/>
            <w:r>
              <w:t xml:space="preserve"> (500)</w:t>
            </w:r>
            <w:r w:rsidR="00456A69">
              <w:t>, FAB (250)</w:t>
            </w:r>
          </w:p>
        </w:tc>
      </w:tr>
      <w:tr w:rsidR="00E93B43" w14:paraId="0C34E9E0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1D9E20C2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6491A0C2" w14:textId="00515692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Technologies used</w:t>
            </w:r>
          </w:p>
        </w:tc>
        <w:tc>
          <w:tcPr>
            <w:tcW w:w="6662" w:type="dxa"/>
          </w:tcPr>
          <w:p w14:paraId="565B6B6C" w14:textId="45600F8F" w:rsidR="00E93B43" w:rsidRPr="00E61D34" w:rsidRDefault="00ED7C13" w:rsidP="009B3457">
            <w:r>
              <w:t>Microsoft Excel</w:t>
            </w:r>
          </w:p>
        </w:tc>
      </w:tr>
      <w:tr w:rsidR="00E93B43" w14:paraId="635520D6" w14:textId="77777777" w:rsidTr="00461E2C">
        <w:trPr>
          <w:trHeight w:val="557"/>
        </w:trPr>
        <w:tc>
          <w:tcPr>
            <w:tcW w:w="1419" w:type="dxa"/>
            <w:vMerge/>
            <w:shd w:val="clear" w:color="auto" w:fill="993366"/>
          </w:tcPr>
          <w:p w14:paraId="64FCEF78" w14:textId="77777777" w:rsidR="00E93B43" w:rsidRPr="00871288" w:rsidRDefault="00E93B43" w:rsidP="00DA61D3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742AD04" w14:textId="4B72D80F" w:rsidR="00E93B43" w:rsidRDefault="00E93B43" w:rsidP="00461E2C">
            <w:pPr>
              <w:rPr>
                <w:b/>
                <w:bCs/>
              </w:rPr>
            </w:pPr>
            <w:r>
              <w:rPr>
                <w:b/>
                <w:bCs/>
              </w:rPr>
              <w:t>Hallam Model</w:t>
            </w:r>
          </w:p>
        </w:tc>
        <w:tc>
          <w:tcPr>
            <w:tcW w:w="6662" w:type="dxa"/>
          </w:tcPr>
          <w:p w14:paraId="567BB82B" w14:textId="4C78D1C9" w:rsidR="00E93B43" w:rsidRPr="00E61D34" w:rsidRDefault="00E61D34" w:rsidP="00361E50">
            <w:r>
              <w:t xml:space="preserve">Module: Engage, Challenge, Collaborate, </w:t>
            </w:r>
            <w:proofErr w:type="gramStart"/>
            <w:r>
              <w:t>Thrive</w:t>
            </w:r>
            <w:proofErr w:type="gramEnd"/>
            <w:r>
              <w:br/>
              <w:t>Formative feedback: Engage</w:t>
            </w:r>
            <w:r w:rsidR="001E1A32">
              <w:t>, Thrive</w:t>
            </w:r>
          </w:p>
        </w:tc>
      </w:tr>
    </w:tbl>
    <w:p w14:paraId="6E83ACF3" w14:textId="77777777" w:rsidR="00715EB9" w:rsidRDefault="00715EB9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927C95" w14:paraId="32BF41EC" w14:textId="77777777" w:rsidTr="00927C95">
        <w:tc>
          <w:tcPr>
            <w:tcW w:w="11096" w:type="dxa"/>
            <w:shd w:val="clear" w:color="auto" w:fill="993366"/>
          </w:tcPr>
          <w:p w14:paraId="67408F1D" w14:textId="4B0D65FE" w:rsidR="00927C95" w:rsidRPr="00927C95" w:rsidRDefault="00927C95" w:rsidP="00927C95">
            <w:pPr>
              <w:pStyle w:val="Heading2"/>
              <w:outlineLvl w:val="1"/>
              <w:rPr>
                <w:rFonts w:cs="Arial"/>
              </w:rPr>
            </w:pPr>
            <w:r w:rsidRPr="00927C95">
              <w:t>The Aim</w:t>
            </w:r>
          </w:p>
        </w:tc>
      </w:tr>
      <w:tr w:rsidR="00927C95" w14:paraId="2DEC5D98" w14:textId="77777777" w:rsidTr="00927C95">
        <w:tc>
          <w:tcPr>
            <w:tcW w:w="11096" w:type="dxa"/>
          </w:tcPr>
          <w:p w14:paraId="6E50D445" w14:textId="27DCBD0F" w:rsidR="001E1A32" w:rsidRDefault="001E1A32" w:rsidP="00485CC0">
            <w:r>
              <w:t xml:space="preserve">This is the first piece of </w:t>
            </w:r>
            <w:r w:rsidR="00456A69">
              <w:t>assessment</w:t>
            </w:r>
            <w:r>
              <w:t xml:space="preserve"> these students encounter at SHU.  </w:t>
            </w:r>
            <w:r>
              <w:br/>
              <w:t xml:space="preserve">They </w:t>
            </w:r>
            <w:r w:rsidR="00A87BB2">
              <w:t xml:space="preserve">use </w:t>
            </w:r>
            <w:r w:rsidR="008F683E">
              <w:t>mathematics and technology</w:t>
            </w:r>
            <w:r w:rsidR="00003949">
              <w:t xml:space="preserve"> </w:t>
            </w:r>
            <w:r w:rsidR="008F683E">
              <w:t>(</w:t>
            </w:r>
            <w:proofErr w:type="spellStart"/>
            <w:r w:rsidR="008F683E">
              <w:t>microsoft</w:t>
            </w:r>
            <w:proofErr w:type="spellEnd"/>
            <w:r w:rsidR="008F683E">
              <w:t xml:space="preserve"> excel) in an applied context.</w:t>
            </w:r>
            <w:r>
              <w:t xml:space="preserve">  </w:t>
            </w:r>
            <w:r>
              <w:br/>
              <w:t xml:space="preserve">The inclusion of the formative assessment is to give them the opportunity to reflect on </w:t>
            </w:r>
            <w:r w:rsidR="00B73344">
              <w:t>pas</w:t>
            </w:r>
            <w:r w:rsidR="00B662FA">
              <w:t xml:space="preserve">t </w:t>
            </w:r>
            <w:r w:rsidR="00B73344">
              <w:t>studen</w:t>
            </w:r>
            <w:r w:rsidR="00B662FA">
              <w:t>ts and current</w:t>
            </w:r>
            <w:r w:rsidR="00DD2746">
              <w:t xml:space="preserve"> peers work to impact on their own work</w:t>
            </w:r>
            <w:r w:rsidR="006948C9">
              <w:t xml:space="preserve">. This </w:t>
            </w:r>
            <w:r w:rsidR="00E61698">
              <w:t>is intended to help the</w:t>
            </w:r>
            <w:r w:rsidR="00174909">
              <w:t>m to understand their assessment</w:t>
            </w:r>
            <w:r w:rsidR="00170C59">
              <w:t xml:space="preserve"> requirement.</w:t>
            </w:r>
            <w:r>
              <w:t xml:space="preserve"> </w:t>
            </w:r>
          </w:p>
        </w:tc>
      </w:tr>
    </w:tbl>
    <w:p w14:paraId="10DC1DEA" w14:textId="43AE95C7" w:rsidR="000D6D79" w:rsidRDefault="000D6D79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7B2CA6" w14:paraId="59690E41" w14:textId="77777777" w:rsidTr="007B2CA6">
        <w:tc>
          <w:tcPr>
            <w:tcW w:w="11096" w:type="dxa"/>
            <w:shd w:val="clear" w:color="auto" w:fill="993366"/>
          </w:tcPr>
          <w:p w14:paraId="741EB740" w14:textId="3D5EACB2" w:rsidR="007B2CA6" w:rsidRDefault="007B2CA6" w:rsidP="007B2CA6">
            <w:pPr>
              <w:pStyle w:val="Heading2"/>
              <w:outlineLvl w:val="1"/>
              <w:rPr>
                <w:rFonts w:cs="Arial"/>
              </w:rPr>
            </w:pPr>
            <w:r>
              <w:t>Benefits</w:t>
            </w:r>
          </w:p>
        </w:tc>
      </w:tr>
      <w:tr w:rsidR="007B2CA6" w14:paraId="051B63F3" w14:textId="77777777" w:rsidTr="00461E2C">
        <w:tc>
          <w:tcPr>
            <w:tcW w:w="11096" w:type="dxa"/>
            <w:vAlign w:val="center"/>
          </w:tcPr>
          <w:p w14:paraId="2E863C4F" w14:textId="572F85C5" w:rsidR="007B2CA6" w:rsidRDefault="001E1A32" w:rsidP="001E1A32">
            <w:pPr>
              <w:pStyle w:val="ListParagraph"/>
              <w:numPr>
                <w:ilvl w:val="0"/>
                <w:numId w:val="16"/>
              </w:numPr>
            </w:pPr>
            <w:r w:rsidRPr="001E1A32">
              <w:t xml:space="preserve">Provide students with </w:t>
            </w:r>
            <w:r>
              <w:t>an</w:t>
            </w:r>
            <w:r w:rsidRPr="001E1A32">
              <w:t xml:space="preserve"> understanding about what formative assessment </w:t>
            </w:r>
            <w:r>
              <w:t>is and how they can use it</w:t>
            </w:r>
            <w:r w:rsidR="0031558F">
              <w:t>.</w:t>
            </w:r>
          </w:p>
          <w:p w14:paraId="1B237FFC" w14:textId="552BB5A6" w:rsidR="001E1A32" w:rsidRDefault="001E1A32" w:rsidP="001E1A32">
            <w:pPr>
              <w:pStyle w:val="ListParagraph"/>
              <w:numPr>
                <w:ilvl w:val="0"/>
                <w:numId w:val="16"/>
              </w:numPr>
            </w:pPr>
            <w:r>
              <w:t>Students are more strongly prepared for their summative assessment</w:t>
            </w:r>
            <w:r w:rsidR="0031558F">
              <w:t>.</w:t>
            </w:r>
          </w:p>
          <w:p w14:paraId="0710523F" w14:textId="08E48E67" w:rsidR="001E1A32" w:rsidRDefault="001E1A32" w:rsidP="001E1A32">
            <w:pPr>
              <w:pStyle w:val="ListParagraph"/>
              <w:numPr>
                <w:ilvl w:val="0"/>
                <w:numId w:val="16"/>
              </w:numPr>
            </w:pPr>
            <w:r>
              <w:t>Feedback provides clear guidance for application to the summative assessment</w:t>
            </w:r>
            <w:r w:rsidR="0031558F">
              <w:t>.</w:t>
            </w:r>
          </w:p>
          <w:p w14:paraId="43B38678" w14:textId="4337CAE0" w:rsidR="001E1A32" w:rsidRPr="001E1A32" w:rsidRDefault="001E1A32" w:rsidP="001E1A32">
            <w:pPr>
              <w:pStyle w:val="ListParagraph"/>
              <w:numPr>
                <w:ilvl w:val="0"/>
                <w:numId w:val="16"/>
              </w:numPr>
            </w:pPr>
            <w:r>
              <w:t>Tutors identify student issues with understanding early in the module</w:t>
            </w:r>
            <w:r w:rsidR="0031558F">
              <w:t>.</w:t>
            </w:r>
          </w:p>
          <w:p w14:paraId="2E54C522" w14:textId="0ADBD4FA" w:rsidR="001E1A32" w:rsidRDefault="001E1A32" w:rsidP="001E1A32">
            <w:pPr>
              <w:pStyle w:val="ListParagraph"/>
            </w:pPr>
          </w:p>
        </w:tc>
      </w:tr>
    </w:tbl>
    <w:p w14:paraId="7188865E" w14:textId="58C94AA6" w:rsidR="000D6D79" w:rsidRDefault="000D6D79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C37BCE" w14:paraId="4B626504" w14:textId="77777777" w:rsidTr="00C37BCE">
        <w:tc>
          <w:tcPr>
            <w:tcW w:w="11096" w:type="dxa"/>
            <w:shd w:val="clear" w:color="auto" w:fill="993366"/>
          </w:tcPr>
          <w:p w14:paraId="13EECE05" w14:textId="1DB7D99C" w:rsidR="00C37BCE" w:rsidRDefault="00C37BCE" w:rsidP="00C37BCE">
            <w:pPr>
              <w:pStyle w:val="Heading2"/>
              <w:outlineLvl w:val="1"/>
              <w:rPr>
                <w:rFonts w:cs="Arial"/>
              </w:rPr>
            </w:pPr>
            <w:r>
              <w:lastRenderedPageBreak/>
              <w:t>The Approach</w:t>
            </w:r>
          </w:p>
        </w:tc>
      </w:tr>
      <w:tr w:rsidR="00C37BCE" w14:paraId="1DD6834F" w14:textId="77777777" w:rsidTr="00C37BCE">
        <w:tc>
          <w:tcPr>
            <w:tcW w:w="11096" w:type="dxa"/>
          </w:tcPr>
          <w:p w14:paraId="746FECE2" w14:textId="77777777" w:rsidR="00BF04BE" w:rsidRDefault="00BF04BE" w:rsidP="001E1A32">
            <w:r>
              <w:t>Task 1</w:t>
            </w:r>
          </w:p>
          <w:p w14:paraId="523D3F45" w14:textId="364315E8" w:rsidR="0062668C" w:rsidRDefault="00EE7B16" w:rsidP="001E1A32">
            <w:r>
              <w:t>Th</w:t>
            </w:r>
            <w:r w:rsidR="001B2F2C">
              <w:t>is piece of</w:t>
            </w:r>
            <w:r>
              <w:t xml:space="preserve"> module assessment is </w:t>
            </w:r>
            <w:r w:rsidR="00141466">
              <w:t>in the scenario of an annual review</w:t>
            </w:r>
            <w:r w:rsidR="004F0A51">
              <w:t xml:space="preserve"> of a </w:t>
            </w:r>
            <w:proofErr w:type="gramStart"/>
            <w:r w:rsidR="004F0A51">
              <w:t>department sales</w:t>
            </w:r>
            <w:proofErr w:type="gramEnd"/>
            <w:r w:rsidR="004F0A51">
              <w:t xml:space="preserve"> within a</w:t>
            </w:r>
            <w:r w:rsidR="002E3F87">
              <w:t xml:space="preserve"> virtual business that is based o</w:t>
            </w:r>
            <w:r w:rsidR="00D96B15">
              <w:t>n a Department Store chain</w:t>
            </w:r>
            <w:r w:rsidR="00757C59">
              <w:t xml:space="preserve"> with a group acting as the management team</w:t>
            </w:r>
            <w:r w:rsidR="00D96B15">
              <w:t xml:space="preserve">. </w:t>
            </w:r>
            <w:r w:rsidR="005933ED">
              <w:t>Student</w:t>
            </w:r>
            <w:r w:rsidR="00757C59">
              <w:t xml:space="preserve"> t</w:t>
            </w:r>
            <w:r w:rsidR="009D7695">
              <w:t>eams</w:t>
            </w:r>
            <w:r w:rsidR="005933ED">
              <w:t xml:space="preserve"> produce a poster summarising </w:t>
            </w:r>
            <w:r w:rsidR="004F0A51">
              <w:t xml:space="preserve">their analysis of the </w:t>
            </w:r>
            <w:r w:rsidR="00D96B15">
              <w:t xml:space="preserve">sales </w:t>
            </w:r>
            <w:r w:rsidR="00471936">
              <w:t xml:space="preserve">compared with other departments, </w:t>
            </w:r>
            <w:proofErr w:type="gramStart"/>
            <w:r w:rsidR="00471936">
              <w:t>stores</w:t>
            </w:r>
            <w:proofErr w:type="gramEnd"/>
            <w:r w:rsidR="00471936">
              <w:t xml:space="preserve"> and the external market. Students </w:t>
            </w:r>
            <w:r w:rsidR="009D7695">
              <w:t xml:space="preserve">then attend the annual review to present their findings to their store manager and someone from the </w:t>
            </w:r>
            <w:r w:rsidR="0062668C">
              <w:t>senior executive.</w:t>
            </w:r>
          </w:p>
          <w:p w14:paraId="298D6685" w14:textId="0213C14A" w:rsidR="00A569B5" w:rsidRDefault="0062668C" w:rsidP="001E1A32">
            <w:r>
              <w:t xml:space="preserve">Students have access to </w:t>
            </w:r>
            <w:proofErr w:type="gramStart"/>
            <w:r>
              <w:t>a number of</w:t>
            </w:r>
            <w:proofErr w:type="gramEnd"/>
            <w:r>
              <w:t xml:space="preserve"> past student</w:t>
            </w:r>
            <w:r w:rsidR="004F3AEB">
              <w:t xml:space="preserve"> </w:t>
            </w:r>
            <w:r>
              <w:t>post</w:t>
            </w:r>
            <w:r w:rsidR="004F3AEB">
              <w:t>ers that they can review/crit</w:t>
            </w:r>
            <w:r w:rsidR="00230F71">
              <w:t>i</w:t>
            </w:r>
            <w:r w:rsidR="004F3AEB">
              <w:t xml:space="preserve">que and we formally get students to </w:t>
            </w:r>
            <w:r w:rsidR="00230F71">
              <w:t xml:space="preserve">critique </w:t>
            </w:r>
            <w:r w:rsidR="00430D1E">
              <w:t xml:space="preserve">and </w:t>
            </w:r>
            <w:r w:rsidR="004F3AEB">
              <w:t>mark</w:t>
            </w:r>
            <w:r w:rsidR="00230F71">
              <w:t xml:space="preserve"> past student posters in </w:t>
            </w:r>
            <w:r w:rsidR="00306212">
              <w:t xml:space="preserve">2 or 3 </w:t>
            </w:r>
            <w:r w:rsidR="00230F71">
              <w:t>sessions</w:t>
            </w:r>
            <w:r w:rsidR="00314EBE">
              <w:t xml:space="preserve"> using the marking grids tutors will use</w:t>
            </w:r>
            <w:r w:rsidR="00430D1E">
              <w:t xml:space="preserve">. Tutors then </w:t>
            </w:r>
            <w:r w:rsidR="00757055">
              <w:t>review the marks given and get students to ident</w:t>
            </w:r>
            <w:r w:rsidR="004A2FEA">
              <w:t>ify missing elements, areas of weakness and what could be done to improve them</w:t>
            </w:r>
            <w:r w:rsidR="00D13507">
              <w:t xml:space="preserve">. Tutors then add any missing </w:t>
            </w:r>
            <w:r w:rsidR="002A701F">
              <w:t>feedback/</w:t>
            </w:r>
            <w:r w:rsidR="00D13507">
              <w:t>comments</w:t>
            </w:r>
            <w:r w:rsidR="002A701F">
              <w:t xml:space="preserve"> and inform students of the mark the piece received</w:t>
            </w:r>
            <w:r w:rsidR="006C5D93">
              <w:t>.</w:t>
            </w:r>
          </w:p>
          <w:p w14:paraId="0E7017B6" w14:textId="653F87E0" w:rsidR="00A569B5" w:rsidRDefault="006C5D93" w:rsidP="001E1A32">
            <w:r>
              <w:t xml:space="preserve">Students then </w:t>
            </w:r>
            <w:proofErr w:type="gramStart"/>
            <w:r>
              <w:t>have the opportunity to</w:t>
            </w:r>
            <w:proofErr w:type="gramEnd"/>
            <w:r w:rsidR="00B759C2">
              <w:t xml:space="preserve"> get formative feedback from both peers and staff</w:t>
            </w:r>
            <w:r w:rsidR="00885149">
              <w:t xml:space="preserve"> on their own work</w:t>
            </w:r>
            <w:r w:rsidR="00625E2C">
              <w:t xml:space="preserve"> again using the marking grids used for the summative</w:t>
            </w:r>
            <w:r w:rsidR="00DB365D">
              <w:t xml:space="preserve"> piece</w:t>
            </w:r>
            <w:r w:rsidR="00885149">
              <w:t>.</w:t>
            </w:r>
            <w:r w:rsidR="008C67A6">
              <w:t xml:space="preserve"> </w:t>
            </w:r>
            <w:proofErr w:type="gramStart"/>
            <w:r w:rsidR="008C67A6">
              <w:t>Finally</w:t>
            </w:r>
            <w:proofErr w:type="gramEnd"/>
            <w:r w:rsidR="008C67A6">
              <w:t xml:space="preserve"> students get the opportunity to run through their presentation and get formative feedback prior to the formal presentation</w:t>
            </w:r>
            <w:r w:rsidR="00A569B5">
              <w:t>.</w:t>
            </w:r>
          </w:p>
          <w:p w14:paraId="72870BA4" w14:textId="77777777" w:rsidR="00BF04BE" w:rsidRDefault="00BF04BE" w:rsidP="001E1A32">
            <w:r>
              <w:t>Task 2</w:t>
            </w:r>
          </w:p>
          <w:p w14:paraId="6FA2C06D" w14:textId="7A45602F" w:rsidR="00F82419" w:rsidRDefault="00BF04BE" w:rsidP="001E1A32">
            <w:r>
              <w:t>The secon</w:t>
            </w:r>
            <w:r w:rsidR="00417C67">
              <w:t xml:space="preserve">d piece of module assessment </w:t>
            </w:r>
            <w:r w:rsidR="00257300">
              <w:t>takes the department</w:t>
            </w:r>
            <w:r w:rsidR="00823824">
              <w:t xml:space="preserve"> from </w:t>
            </w:r>
            <w:r w:rsidR="00DB365D">
              <w:t>the annual review of past sales</w:t>
            </w:r>
            <w:r w:rsidR="00823824">
              <w:t xml:space="preserve"> into the future with </w:t>
            </w:r>
            <w:r w:rsidR="00683B5D">
              <w:t>decision making between courses of action</w:t>
            </w:r>
            <w:r w:rsidR="003F7456">
              <w:t xml:space="preserve"> and </w:t>
            </w:r>
            <w:r w:rsidR="00417C67">
              <w:t xml:space="preserve">is a </w:t>
            </w:r>
            <w:r w:rsidR="003F7456">
              <w:t>r</w:t>
            </w:r>
            <w:r w:rsidR="00417C67">
              <w:t>eport and analysis</w:t>
            </w:r>
            <w:r w:rsidR="00F82419">
              <w:t>.</w:t>
            </w:r>
          </w:p>
          <w:p w14:paraId="6F6C5759" w14:textId="1F56824D" w:rsidR="001E1A32" w:rsidRDefault="00F82419" w:rsidP="001E1A32">
            <w:r>
              <w:t>Students have a guidance template for both the report and the analysis</w:t>
            </w:r>
            <w:r w:rsidR="00C50806">
              <w:t>. The analysis is a forecasting model</w:t>
            </w:r>
            <w:r w:rsidR="00AD5102">
              <w:t xml:space="preserve"> and cash flows. Students get are </w:t>
            </w:r>
            <w:r w:rsidR="00A803AF">
              <w:t>given the “correct</w:t>
            </w:r>
            <w:r w:rsidR="009E670E">
              <w:t xml:space="preserve"> </w:t>
            </w:r>
            <w:r w:rsidR="00A803AF">
              <w:t xml:space="preserve">answers” to the analysis in terms of </w:t>
            </w:r>
            <w:r w:rsidR="003F7456">
              <w:t>n</w:t>
            </w:r>
            <w:r w:rsidR="00A803AF">
              <w:t xml:space="preserve">et </w:t>
            </w:r>
            <w:r w:rsidR="003F7456">
              <w:t>p</w:t>
            </w:r>
            <w:r w:rsidR="00A803AF">
              <w:t xml:space="preserve">resent </w:t>
            </w:r>
            <w:r w:rsidR="003F7456">
              <w:t>v</w:t>
            </w:r>
            <w:r w:rsidR="00A803AF">
              <w:t xml:space="preserve">alues so they can </w:t>
            </w:r>
            <w:r w:rsidR="009E670E">
              <w:t>self- audit whether they have done the analysis correctly. They also</w:t>
            </w:r>
            <w:r w:rsidR="0090071E">
              <w:t xml:space="preserve"> get formative feedback opportunities in 3 sess</w:t>
            </w:r>
            <w:r w:rsidR="00967E2F">
              <w:t xml:space="preserve">ions and weekly drop-ins </w:t>
            </w:r>
            <w:r w:rsidR="00E82012">
              <w:t>then</w:t>
            </w:r>
            <w:r w:rsidR="00967E2F">
              <w:t xml:space="preserve"> have the chance to improve their work</w:t>
            </w:r>
            <w:r w:rsidR="00E82012">
              <w:t xml:space="preserve"> on the analysis.</w:t>
            </w:r>
            <w:r w:rsidR="00EE5803">
              <w:t xml:space="preserve"> </w:t>
            </w:r>
            <w:r w:rsidR="009313CC">
              <w:t xml:space="preserve">The report writing is supported with a guidance template </w:t>
            </w:r>
            <w:r w:rsidR="000139CB">
              <w:t xml:space="preserve">and screencasts </w:t>
            </w:r>
            <w:r w:rsidR="009313CC">
              <w:t>tog</w:t>
            </w:r>
            <w:r w:rsidR="004F24B5">
              <w:t>ether with several opportunities for review and formative feedback both in sessions and drop-in.</w:t>
            </w:r>
            <w:r w:rsidR="000139CB">
              <w:t xml:space="preserve"> </w:t>
            </w:r>
          </w:p>
          <w:p w14:paraId="18CA2412" w14:textId="370CA4A3" w:rsidR="007C6652" w:rsidRPr="001E1A32" w:rsidRDefault="007C6652" w:rsidP="007C6652"/>
        </w:tc>
      </w:tr>
    </w:tbl>
    <w:p w14:paraId="3D419C38" w14:textId="77777777" w:rsidR="00C37BCE" w:rsidRDefault="00C37BCE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C37BCE" w14:paraId="37AF1ADD" w14:textId="77777777" w:rsidTr="00C37BCE">
        <w:tc>
          <w:tcPr>
            <w:tcW w:w="11096" w:type="dxa"/>
            <w:shd w:val="clear" w:color="auto" w:fill="993366"/>
          </w:tcPr>
          <w:p w14:paraId="7CB7F140" w14:textId="3A25B702" w:rsidR="00C37BCE" w:rsidRDefault="00C37BCE" w:rsidP="00C37BCE">
            <w:pPr>
              <w:pStyle w:val="Heading2"/>
              <w:outlineLvl w:val="1"/>
              <w:rPr>
                <w:rFonts w:cs="Arial"/>
              </w:rPr>
            </w:pPr>
            <w:r>
              <w:t>The Outcome / Impact</w:t>
            </w:r>
          </w:p>
        </w:tc>
      </w:tr>
      <w:tr w:rsidR="00C37BCE" w14:paraId="330B563F" w14:textId="77777777" w:rsidTr="00C37BCE">
        <w:tc>
          <w:tcPr>
            <w:tcW w:w="11096" w:type="dxa"/>
          </w:tcPr>
          <w:p w14:paraId="5A568832" w14:textId="77777777" w:rsidR="00B04D8E" w:rsidRDefault="009A2DFE" w:rsidP="00BB18D2">
            <w:pPr>
              <w:pStyle w:val="ListParagraph"/>
              <w:numPr>
                <w:ilvl w:val="0"/>
                <w:numId w:val="17"/>
              </w:numPr>
            </w:pPr>
            <w:r>
              <w:t xml:space="preserve">Students become </w:t>
            </w:r>
            <w:r w:rsidR="00ED42A9">
              <w:t xml:space="preserve">aware of the criteria on which they are being against very early on which leads to </w:t>
            </w:r>
            <w:r w:rsidR="00FE4236">
              <w:t xml:space="preserve">familiarity and </w:t>
            </w:r>
            <w:r w:rsidR="00ED42A9">
              <w:t>transparency</w:t>
            </w:r>
            <w:r w:rsidR="00FE4236">
              <w:t xml:space="preserve"> in marking</w:t>
            </w:r>
            <w:r w:rsidR="00B04D8E">
              <w:t>.</w:t>
            </w:r>
          </w:p>
          <w:p w14:paraId="72AE3632" w14:textId="77777777" w:rsidR="002E4559" w:rsidRDefault="00B04D8E" w:rsidP="00BB18D2">
            <w:pPr>
              <w:pStyle w:val="ListParagraph"/>
              <w:numPr>
                <w:ilvl w:val="0"/>
                <w:numId w:val="17"/>
              </w:numPr>
            </w:pPr>
            <w:r>
              <w:t>As initially students are getting the formative feedback on other students work</w:t>
            </w:r>
            <w:r w:rsidR="0026212F">
              <w:t xml:space="preserve"> it produces a</w:t>
            </w:r>
            <w:r w:rsidR="00BB18D2">
              <w:t xml:space="preserve"> safe learning environment </w:t>
            </w:r>
            <w:r w:rsidR="00377011">
              <w:t xml:space="preserve">in which </w:t>
            </w:r>
            <w:r w:rsidR="0026212F">
              <w:t>identifying</w:t>
            </w:r>
            <w:r w:rsidR="00BB18D2">
              <w:t xml:space="preserve"> mistakes is a good thing</w:t>
            </w:r>
            <w:r w:rsidR="002E4559">
              <w:t xml:space="preserve"> </w:t>
            </w:r>
            <w:r w:rsidR="00377011">
              <w:t>and something to learn from</w:t>
            </w:r>
            <w:r w:rsidR="00BB18D2">
              <w:t>.</w:t>
            </w:r>
          </w:p>
          <w:p w14:paraId="58A22B23" w14:textId="37DE22F9" w:rsidR="003B287F" w:rsidRDefault="002E4559" w:rsidP="00BB18D2">
            <w:pPr>
              <w:pStyle w:val="ListParagraph"/>
              <w:numPr>
                <w:ilvl w:val="0"/>
                <w:numId w:val="17"/>
              </w:numPr>
            </w:pPr>
            <w:r>
              <w:t xml:space="preserve">Having the opportunity for formative feedback from both peers and tutor </w:t>
            </w:r>
            <w:r w:rsidR="00C323CF">
              <w:t xml:space="preserve">allows students to get a variety of observations/feedback rather than an </w:t>
            </w:r>
            <w:proofErr w:type="gramStart"/>
            <w:r w:rsidR="00C323CF">
              <w:t>individuals</w:t>
            </w:r>
            <w:proofErr w:type="gramEnd"/>
            <w:r w:rsidR="00C323CF">
              <w:t>.</w:t>
            </w:r>
          </w:p>
          <w:p w14:paraId="783F84FF" w14:textId="3477A2CA" w:rsidR="0050779B" w:rsidRDefault="003B287F" w:rsidP="00BB18D2">
            <w:pPr>
              <w:pStyle w:val="ListParagraph"/>
              <w:numPr>
                <w:ilvl w:val="0"/>
                <w:numId w:val="17"/>
              </w:numPr>
            </w:pPr>
            <w:r>
              <w:t xml:space="preserve">Students become aware early in their </w:t>
            </w:r>
            <w:r w:rsidR="002334EB">
              <w:t>u</w:t>
            </w:r>
            <w:r>
              <w:t xml:space="preserve">niversity experience </w:t>
            </w:r>
            <w:r w:rsidR="0050779B">
              <w:t>what formative feedback is and how it can be used.</w:t>
            </w:r>
          </w:p>
          <w:p w14:paraId="476CA69E" w14:textId="3D7F81FE" w:rsidR="00C37BCE" w:rsidRDefault="00784C1B" w:rsidP="00784C1B">
            <w:pPr>
              <w:pStyle w:val="ListParagraph"/>
              <w:numPr>
                <w:ilvl w:val="0"/>
                <w:numId w:val="17"/>
              </w:numPr>
            </w:pPr>
            <w:r w:rsidRPr="00784C1B">
              <w:lastRenderedPageBreak/>
              <w:t>Attendance monitoring – although not the remit of the formative assessment, it provided sufficient time for teams to settle and tutors to identify struggling or absent students.</w:t>
            </w:r>
            <w:r w:rsidR="000668F4">
              <w:t xml:space="preserve"> Linked to </w:t>
            </w:r>
            <w:proofErr w:type="gramStart"/>
            <w:r w:rsidR="000668F4">
              <w:t>this the formative feedback sessions</w:t>
            </w:r>
            <w:proofErr w:type="gramEnd"/>
            <w:r w:rsidR="000668F4">
              <w:t xml:space="preserve"> permitted </w:t>
            </w:r>
            <w:r w:rsidR="002334EB">
              <w:t>the discussion regarding engagement and understanding.</w:t>
            </w:r>
          </w:p>
          <w:p w14:paraId="53A66F5E" w14:textId="60CA2EA7" w:rsidR="00784C1B" w:rsidRPr="00BB18D2" w:rsidRDefault="00784C1B" w:rsidP="00543750">
            <w:pPr>
              <w:pStyle w:val="ListParagraph"/>
            </w:pPr>
          </w:p>
        </w:tc>
      </w:tr>
    </w:tbl>
    <w:p w14:paraId="21AF2FCB" w14:textId="77777777" w:rsidR="00C37BCE" w:rsidRDefault="00C37BCE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C37BCE" w14:paraId="19887047" w14:textId="77777777" w:rsidTr="00C37BCE">
        <w:tc>
          <w:tcPr>
            <w:tcW w:w="11096" w:type="dxa"/>
            <w:shd w:val="clear" w:color="auto" w:fill="993366"/>
          </w:tcPr>
          <w:p w14:paraId="4595A930" w14:textId="5BCFE5C7" w:rsidR="00C37BCE" w:rsidRDefault="00C37BCE" w:rsidP="00C37BCE">
            <w:pPr>
              <w:pStyle w:val="Heading2"/>
              <w:outlineLvl w:val="1"/>
              <w:rPr>
                <w:rFonts w:cs="Arial"/>
              </w:rPr>
            </w:pPr>
            <w:r>
              <w:t>Future Developments</w:t>
            </w:r>
          </w:p>
        </w:tc>
      </w:tr>
      <w:tr w:rsidR="00C37BCE" w14:paraId="44D21F9F" w14:textId="77777777" w:rsidTr="00C37BCE">
        <w:tc>
          <w:tcPr>
            <w:tcW w:w="11096" w:type="dxa"/>
          </w:tcPr>
          <w:p w14:paraId="22482578" w14:textId="78F84DE7" w:rsidR="00C37BCE" w:rsidRDefault="00784C1B" w:rsidP="00361E50">
            <w:r>
              <w:t>Continue to include the formative element</w:t>
            </w:r>
            <w:r w:rsidR="00543750">
              <w:t xml:space="preserve"> and review how this is</w:t>
            </w:r>
            <w:r w:rsidR="00346215">
              <w:t xml:space="preserve"> embedded further.</w:t>
            </w:r>
          </w:p>
        </w:tc>
      </w:tr>
    </w:tbl>
    <w:p w14:paraId="05E60B1E" w14:textId="77777777" w:rsidR="00C37BCE" w:rsidRDefault="00C37BCE" w:rsidP="00361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0"/>
      </w:tblGrid>
      <w:tr w:rsidR="00C37BCE" w14:paraId="47E0114F" w14:textId="77777777" w:rsidTr="00C37BCE">
        <w:tc>
          <w:tcPr>
            <w:tcW w:w="11096" w:type="dxa"/>
            <w:shd w:val="clear" w:color="auto" w:fill="993366"/>
          </w:tcPr>
          <w:p w14:paraId="61279DDD" w14:textId="518A258A" w:rsidR="00C37BCE" w:rsidRDefault="00C37BCE" w:rsidP="00C37BCE">
            <w:pPr>
              <w:pStyle w:val="Heading2"/>
              <w:outlineLvl w:val="1"/>
              <w:rPr>
                <w:rFonts w:cs="Arial"/>
              </w:rPr>
            </w:pPr>
            <w:r>
              <w:t>Recommendations</w:t>
            </w:r>
          </w:p>
        </w:tc>
      </w:tr>
      <w:tr w:rsidR="00C37BCE" w14:paraId="27D36762" w14:textId="77777777" w:rsidTr="00C37BCE">
        <w:tc>
          <w:tcPr>
            <w:tcW w:w="11096" w:type="dxa"/>
          </w:tcPr>
          <w:p w14:paraId="74AB5F43" w14:textId="249735EA" w:rsidR="00C37BCE" w:rsidRDefault="00BB18D2" w:rsidP="00BB18D2">
            <w:r>
              <w:t xml:space="preserve">Explain the role of Formative Assessment several times </w:t>
            </w:r>
            <w:r w:rsidR="00A33F54">
              <w:t xml:space="preserve">at the outset </w:t>
            </w:r>
            <w:r>
              <w:t xml:space="preserve">and remind students </w:t>
            </w:r>
            <w:r w:rsidR="00A33F54">
              <w:t>of how</w:t>
            </w:r>
            <w:r>
              <w:t xml:space="preserve"> the </w:t>
            </w:r>
            <w:r w:rsidR="00A33F54">
              <w:t xml:space="preserve">formative feedback given both on past students work and their own can be used to </w:t>
            </w:r>
            <w:r w:rsidR="00B839AB">
              <w:t>help them develop critical analysis skills</w:t>
            </w:r>
            <w:r>
              <w:t>.</w:t>
            </w:r>
          </w:p>
          <w:p w14:paraId="7A04DE5C" w14:textId="5C04CBE1" w:rsidR="00BB18D2" w:rsidRPr="00BB18D2" w:rsidRDefault="00BB18D2" w:rsidP="00BB18D2">
            <w:r>
              <w:t xml:space="preserve">Feedback sessions provide opportunity for students to ask questions and use discussion to help boost their understanding of their role in a Management Team </w:t>
            </w:r>
            <w:proofErr w:type="gramStart"/>
            <w:r>
              <w:t>i.e.</w:t>
            </w:r>
            <w:proofErr w:type="gramEnd"/>
            <w:r>
              <w:t xml:space="preserve"> preparation for placement.</w:t>
            </w:r>
          </w:p>
        </w:tc>
      </w:tr>
    </w:tbl>
    <w:p w14:paraId="28565AA3" w14:textId="3B3035D4" w:rsidR="00C37BCE" w:rsidRDefault="00C37BCE" w:rsidP="000D7D91">
      <w:pPr>
        <w:rPr>
          <w:rFonts w:ascii="Arial" w:hAnsi="Arial" w:cs="Arial"/>
        </w:rPr>
      </w:pPr>
    </w:p>
    <w:p w14:paraId="438DC6FB" w14:textId="6D3D571C" w:rsidR="00060714" w:rsidRDefault="00060714" w:rsidP="000D7D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Want to share your case study with the wider academic community? Send to </w:t>
      </w:r>
      <w:hyperlink r:id="rId11" w:history="1">
        <w:r w:rsidRPr="0040017C">
          <w:rPr>
            <w:rStyle w:val="Hyperlink"/>
            <w:rFonts w:ascii="Arial" w:hAnsi="Arial" w:cs="Arial"/>
          </w:rPr>
          <w:t>Academic Development &amp; Diversity</w:t>
        </w:r>
      </w:hyperlink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we’ll</w:t>
      </w:r>
      <w:proofErr w:type="gramEnd"/>
      <w:r>
        <w:rPr>
          <w:rFonts w:ascii="Arial" w:hAnsi="Arial" w:cs="Arial"/>
        </w:rPr>
        <w:t xml:space="preserve"> host on our Academic Essentials: </w:t>
      </w:r>
      <w:hyperlink r:id="rId12" w:history="1">
        <w:r w:rsidRPr="000D4717">
          <w:rPr>
            <w:rStyle w:val="Hyperlink"/>
            <w:rFonts w:ascii="Arial" w:hAnsi="Arial" w:cs="Arial"/>
          </w:rPr>
          <w:t>Case Study</w:t>
        </w:r>
      </w:hyperlink>
      <w:r>
        <w:rPr>
          <w:rFonts w:ascii="Arial" w:hAnsi="Arial" w:cs="Arial"/>
        </w:rPr>
        <w:t xml:space="preserve"> page for wider publication.</w:t>
      </w:r>
    </w:p>
    <w:sectPr w:rsidR="00060714" w:rsidSect="00361E50">
      <w:footerReference w:type="default" r:id="rId13"/>
      <w:headerReference w:type="first" r:id="rId14"/>
      <w:footerReference w:type="first" r:id="rId15"/>
      <w:pgSz w:w="11900" w:h="16840" w:code="9"/>
      <w:pgMar w:top="510" w:right="510" w:bottom="510" w:left="51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BE37" w14:textId="77777777" w:rsidR="00744E6D" w:rsidRDefault="00744E6D" w:rsidP="00732810">
      <w:pPr>
        <w:spacing w:after="0"/>
      </w:pPr>
      <w:r>
        <w:separator/>
      </w:r>
    </w:p>
  </w:endnote>
  <w:endnote w:type="continuationSeparator" w:id="0">
    <w:p w14:paraId="0AE879E0" w14:textId="77777777" w:rsidR="00744E6D" w:rsidRDefault="00744E6D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panose1 w:val="02000503020000020004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2000306080000020004"/>
    <w:charset w:val="00"/>
    <w:family w:val="modern"/>
    <w:notTrueType/>
    <w:pitch w:val="variable"/>
    <w:sig w:usb0="800000AF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85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88B26" w14:textId="1332934F" w:rsidR="007E3FFA" w:rsidRDefault="007E3FFA">
        <w:pPr>
          <w:pStyle w:val="Footer"/>
          <w:jc w:val="right"/>
        </w:pPr>
        <w:r>
          <w:rPr>
            <w:noProof/>
          </w:rPr>
          <w:t>2</w:t>
        </w:r>
      </w:p>
    </w:sdtContent>
  </w:sdt>
  <w:p w14:paraId="7CCCBCBE" w14:textId="77777777" w:rsidR="007E3FFA" w:rsidRPr="000D7D91" w:rsidRDefault="007E3FFA" w:rsidP="007E3FFA">
    <w:pPr>
      <w:pStyle w:val="Footer"/>
      <w:rPr>
        <w:rFonts w:ascii="Arial" w:hAnsi="Arial" w:cs="Arial"/>
      </w:rPr>
    </w:pPr>
    <w:r w:rsidRPr="000D7D91">
      <w:rPr>
        <w:rFonts w:ascii="Arial" w:hAnsi="Arial" w:cs="Arial"/>
      </w:rPr>
      <w:t>Academic Essentials – case study template: V1 May 2021</w:t>
    </w:r>
  </w:p>
  <w:p w14:paraId="16E4E4F1" w14:textId="77777777" w:rsidR="00461E2C" w:rsidRDefault="00461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9C94" w14:textId="1BE0FA09" w:rsidR="008E009D" w:rsidRPr="000D7D91" w:rsidRDefault="000D7D91">
    <w:pPr>
      <w:pStyle w:val="Footer"/>
      <w:rPr>
        <w:rFonts w:ascii="Arial" w:hAnsi="Arial" w:cs="Arial"/>
      </w:rPr>
    </w:pPr>
    <w:r w:rsidRPr="000D7D91">
      <w:rPr>
        <w:rFonts w:ascii="Arial" w:hAnsi="Arial" w:cs="Arial"/>
      </w:rPr>
      <w:t>Academic Essentials – case study template: V1 May 2021</w:t>
    </w:r>
  </w:p>
  <w:p w14:paraId="2AF64923" w14:textId="77777777" w:rsidR="008E009D" w:rsidRDefault="008E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10DF" w14:textId="77777777" w:rsidR="00744E6D" w:rsidRDefault="00744E6D" w:rsidP="00732810">
      <w:pPr>
        <w:spacing w:after="0"/>
      </w:pPr>
      <w:r>
        <w:separator/>
      </w:r>
    </w:p>
  </w:footnote>
  <w:footnote w:type="continuationSeparator" w:id="0">
    <w:p w14:paraId="148D6050" w14:textId="77777777" w:rsidR="00744E6D" w:rsidRDefault="00744E6D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EA99" w14:textId="77777777" w:rsidR="008464A2" w:rsidRDefault="008464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5FEA9A" wp14:editId="6B5FEA9B">
          <wp:simplePos x="0" y="0"/>
          <wp:positionH relativeFrom="column">
            <wp:posOffset>-23812</wp:posOffset>
          </wp:positionH>
          <wp:positionV relativeFrom="paragraph">
            <wp:posOffset>-55245</wp:posOffset>
          </wp:positionV>
          <wp:extent cx="1547812" cy="823912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215C_229C_SP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8F5"/>
    <w:multiLevelType w:val="hybridMultilevel"/>
    <w:tmpl w:val="5630D1EC"/>
    <w:lvl w:ilvl="0" w:tplc="91C81C2A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7B1E"/>
    <w:multiLevelType w:val="hybridMultilevel"/>
    <w:tmpl w:val="E5BA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415"/>
    <w:multiLevelType w:val="hybridMultilevel"/>
    <w:tmpl w:val="AFC6CF8A"/>
    <w:lvl w:ilvl="0" w:tplc="91C81C2A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D49B1"/>
    <w:multiLevelType w:val="hybridMultilevel"/>
    <w:tmpl w:val="940C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6549"/>
    <w:multiLevelType w:val="hybridMultilevel"/>
    <w:tmpl w:val="D1DEA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515"/>
    <w:multiLevelType w:val="hybridMultilevel"/>
    <w:tmpl w:val="6732634C"/>
    <w:lvl w:ilvl="0" w:tplc="91C81C2A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2158D"/>
    <w:multiLevelType w:val="hybridMultilevel"/>
    <w:tmpl w:val="942E0E1A"/>
    <w:lvl w:ilvl="0" w:tplc="91C81C2A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579B6"/>
    <w:multiLevelType w:val="hybridMultilevel"/>
    <w:tmpl w:val="C2C237A6"/>
    <w:lvl w:ilvl="0" w:tplc="91C81C2A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10"/>
    <w:rsid w:val="00003949"/>
    <w:rsid w:val="00011BEB"/>
    <w:rsid w:val="000139CB"/>
    <w:rsid w:val="00057AA2"/>
    <w:rsid w:val="00060714"/>
    <w:rsid w:val="000668F4"/>
    <w:rsid w:val="00070D32"/>
    <w:rsid w:val="00077296"/>
    <w:rsid w:val="000D4717"/>
    <w:rsid w:val="000D6D79"/>
    <w:rsid w:val="000D7D91"/>
    <w:rsid w:val="000F2E11"/>
    <w:rsid w:val="00107F5C"/>
    <w:rsid w:val="00141466"/>
    <w:rsid w:val="00146D64"/>
    <w:rsid w:val="001558FB"/>
    <w:rsid w:val="00170C59"/>
    <w:rsid w:val="00174909"/>
    <w:rsid w:val="001A21BE"/>
    <w:rsid w:val="001B2F2C"/>
    <w:rsid w:val="001E1A32"/>
    <w:rsid w:val="002174B6"/>
    <w:rsid w:val="00230F71"/>
    <w:rsid w:val="002334EB"/>
    <w:rsid w:val="00257300"/>
    <w:rsid w:val="0026212F"/>
    <w:rsid w:val="00266118"/>
    <w:rsid w:val="002A701F"/>
    <w:rsid w:val="002B311E"/>
    <w:rsid w:val="002B6AE8"/>
    <w:rsid w:val="002C0EB8"/>
    <w:rsid w:val="002C42A3"/>
    <w:rsid w:val="002D2372"/>
    <w:rsid w:val="002E3F87"/>
    <w:rsid w:val="002E4559"/>
    <w:rsid w:val="002F1FCE"/>
    <w:rsid w:val="002F67CF"/>
    <w:rsid w:val="00306212"/>
    <w:rsid w:val="00314EBE"/>
    <w:rsid w:val="0031558F"/>
    <w:rsid w:val="0034457B"/>
    <w:rsid w:val="00346215"/>
    <w:rsid w:val="00361E50"/>
    <w:rsid w:val="003674BA"/>
    <w:rsid w:val="00377011"/>
    <w:rsid w:val="003B287F"/>
    <w:rsid w:val="003B4D30"/>
    <w:rsid w:val="003F11CF"/>
    <w:rsid w:val="003F7456"/>
    <w:rsid w:val="0040017C"/>
    <w:rsid w:val="00417C67"/>
    <w:rsid w:val="0042154D"/>
    <w:rsid w:val="00430D1E"/>
    <w:rsid w:val="004413AC"/>
    <w:rsid w:val="00456A69"/>
    <w:rsid w:val="00461E2C"/>
    <w:rsid w:val="00471936"/>
    <w:rsid w:val="004740A2"/>
    <w:rsid w:val="00485CC0"/>
    <w:rsid w:val="00494576"/>
    <w:rsid w:val="004A2FEA"/>
    <w:rsid w:val="004F0A51"/>
    <w:rsid w:val="004F0DCF"/>
    <w:rsid w:val="004F1189"/>
    <w:rsid w:val="004F24B5"/>
    <w:rsid w:val="004F3AEB"/>
    <w:rsid w:val="0050779B"/>
    <w:rsid w:val="00515D93"/>
    <w:rsid w:val="00516D03"/>
    <w:rsid w:val="00523E2E"/>
    <w:rsid w:val="00543750"/>
    <w:rsid w:val="005933ED"/>
    <w:rsid w:val="00596F05"/>
    <w:rsid w:val="005D0E96"/>
    <w:rsid w:val="0060181C"/>
    <w:rsid w:val="00620054"/>
    <w:rsid w:val="00625E2C"/>
    <w:rsid w:val="0062668C"/>
    <w:rsid w:val="00683B5D"/>
    <w:rsid w:val="00684455"/>
    <w:rsid w:val="006948C9"/>
    <w:rsid w:val="006C5D93"/>
    <w:rsid w:val="00715EB9"/>
    <w:rsid w:val="0072196B"/>
    <w:rsid w:val="00726DDF"/>
    <w:rsid w:val="00732810"/>
    <w:rsid w:val="00744E6D"/>
    <w:rsid w:val="00757055"/>
    <w:rsid w:val="00757C59"/>
    <w:rsid w:val="00784C1B"/>
    <w:rsid w:val="007A5D3B"/>
    <w:rsid w:val="007B2CA6"/>
    <w:rsid w:val="007C6652"/>
    <w:rsid w:val="007D4E80"/>
    <w:rsid w:val="007E3FFA"/>
    <w:rsid w:val="00801BDB"/>
    <w:rsid w:val="00804595"/>
    <w:rsid w:val="00823824"/>
    <w:rsid w:val="008464A2"/>
    <w:rsid w:val="008605D4"/>
    <w:rsid w:val="008632B6"/>
    <w:rsid w:val="00871288"/>
    <w:rsid w:val="00885149"/>
    <w:rsid w:val="008B7BE7"/>
    <w:rsid w:val="008C67A6"/>
    <w:rsid w:val="008E009D"/>
    <w:rsid w:val="008F0D60"/>
    <w:rsid w:val="008F683E"/>
    <w:rsid w:val="0090071E"/>
    <w:rsid w:val="00927C95"/>
    <w:rsid w:val="009313CC"/>
    <w:rsid w:val="00967E2F"/>
    <w:rsid w:val="009A2DFE"/>
    <w:rsid w:val="009B3457"/>
    <w:rsid w:val="009D7695"/>
    <w:rsid w:val="009E670E"/>
    <w:rsid w:val="009F7D72"/>
    <w:rsid w:val="00A24AFD"/>
    <w:rsid w:val="00A3242E"/>
    <w:rsid w:val="00A33F54"/>
    <w:rsid w:val="00A50118"/>
    <w:rsid w:val="00A5522F"/>
    <w:rsid w:val="00A569B5"/>
    <w:rsid w:val="00A803AF"/>
    <w:rsid w:val="00A87BB2"/>
    <w:rsid w:val="00AC3725"/>
    <w:rsid w:val="00AD5102"/>
    <w:rsid w:val="00B04D8E"/>
    <w:rsid w:val="00B42B3D"/>
    <w:rsid w:val="00B662FA"/>
    <w:rsid w:val="00B73344"/>
    <w:rsid w:val="00B759C2"/>
    <w:rsid w:val="00B839AB"/>
    <w:rsid w:val="00BB18D2"/>
    <w:rsid w:val="00BE2523"/>
    <w:rsid w:val="00BF04BE"/>
    <w:rsid w:val="00BF6222"/>
    <w:rsid w:val="00C30C32"/>
    <w:rsid w:val="00C318D5"/>
    <w:rsid w:val="00C323CF"/>
    <w:rsid w:val="00C37BCE"/>
    <w:rsid w:val="00C50073"/>
    <w:rsid w:val="00C50806"/>
    <w:rsid w:val="00C600D5"/>
    <w:rsid w:val="00C728FD"/>
    <w:rsid w:val="00C86454"/>
    <w:rsid w:val="00CA0841"/>
    <w:rsid w:val="00CB79A2"/>
    <w:rsid w:val="00CF2130"/>
    <w:rsid w:val="00D02626"/>
    <w:rsid w:val="00D13507"/>
    <w:rsid w:val="00D17EAB"/>
    <w:rsid w:val="00D43DFB"/>
    <w:rsid w:val="00D72479"/>
    <w:rsid w:val="00D96B15"/>
    <w:rsid w:val="00DA61D3"/>
    <w:rsid w:val="00DB365D"/>
    <w:rsid w:val="00DD2746"/>
    <w:rsid w:val="00E236F7"/>
    <w:rsid w:val="00E61698"/>
    <w:rsid w:val="00E61D34"/>
    <w:rsid w:val="00E82012"/>
    <w:rsid w:val="00E86DFC"/>
    <w:rsid w:val="00E93B43"/>
    <w:rsid w:val="00ED42A9"/>
    <w:rsid w:val="00ED7C13"/>
    <w:rsid w:val="00EE5803"/>
    <w:rsid w:val="00EE7B16"/>
    <w:rsid w:val="00F82419"/>
    <w:rsid w:val="00F850F4"/>
    <w:rsid w:val="00FB7D85"/>
    <w:rsid w:val="00FE4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B5FEA8F"/>
  <w15:docId w15:val="{AD4C5B55-143E-4A79-8E28-D70FD74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C95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FFFFFF" w:themeColor="background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7C95"/>
    <w:rPr>
      <w:rFonts w:ascii="Arial" w:eastAsiaTheme="majorEastAsia" w:hAnsi="Arial" w:cstheme="majorBidi"/>
      <w:b/>
      <w:bCs/>
      <w:color w:val="FFFFFF" w:themeColor="background1"/>
      <w:sz w:val="28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850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0017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1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C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51E7327BD7F42B5B297990F7890C9" ma:contentTypeVersion="11" ma:contentTypeDescription="Create a new document." ma:contentTypeScope="" ma:versionID="4861d8f68fe1cd35e34f8f3d92bf1567">
  <xsd:schema xmlns:xsd="http://www.w3.org/2001/XMLSchema" xmlns:xs="http://www.w3.org/2001/XMLSchema" xmlns:p="http://schemas.microsoft.com/office/2006/metadata/properties" xmlns:ns1="http://schemas.microsoft.com/sharepoint/v3" xmlns:ns2="17335414-664a-494f-b55c-108cc6415f91" targetNamespace="http://schemas.microsoft.com/office/2006/metadata/properties" ma:root="true" ma:fieldsID="3d800b304fa3f2476459f4d018acd483" ns1:_="" ns2:_="">
    <xsd:import namespace="http://schemas.microsoft.com/sharepoint/v3"/>
    <xsd:import namespace="17335414-664a-494f-b55c-108cc6415f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35414-664a-494f-b55c-108cc641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752464-D386-48F3-BC8C-D8CEF131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335414-664a-494f-b55c-108cc6415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69F0B-1A6E-4324-85A7-6AEB2E2CA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AD2DB-DF8B-4D3F-9F5F-FD51FB190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D9F36-0EBD-4B1A-9FC4-161A6AEAA0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</dc:creator>
  <cp:keywords/>
  <dc:description/>
  <cp:lastModifiedBy>Kay, Helen</cp:lastModifiedBy>
  <cp:revision>2</cp:revision>
  <dcterms:created xsi:type="dcterms:W3CDTF">2021-07-05T15:25:00Z</dcterms:created>
  <dcterms:modified xsi:type="dcterms:W3CDTF">2021-07-05T15:25:00Z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0x01010073151E7327BD7F42B5B297990F7890C9</vt:lpwstr>
  </property>
  <property fmtid="{D5CDD505-2E9C-101B-9397-08002B2CF9AE}" pid="4" name="Order">
    <vt:r8>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