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8" w:rsidRPr="00E90063" w:rsidRDefault="00D45EAF" w:rsidP="00E900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0063">
        <w:rPr>
          <w:rFonts w:ascii="Arial" w:hAnsi="Arial" w:cs="Arial"/>
          <w:sz w:val="24"/>
          <w:szCs w:val="24"/>
        </w:rPr>
        <w:t>Thanks for coming to the Course L</w:t>
      </w:r>
      <w:r w:rsidR="00E90063" w:rsidRPr="00E90063">
        <w:rPr>
          <w:rFonts w:ascii="Arial" w:hAnsi="Arial" w:cs="Arial"/>
          <w:sz w:val="24"/>
          <w:szCs w:val="24"/>
        </w:rPr>
        <w:t>eader Fest session on Co-Design</w:t>
      </w:r>
    </w:p>
    <w:p w:rsidR="00D45EAF" w:rsidRPr="00E90063" w:rsidRDefault="00D45EAF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>I wanted to follow up from the suggestions that you made during and at the end of the session.</w:t>
      </w:r>
    </w:p>
    <w:p w:rsidR="001A5776" w:rsidRPr="00E90063" w:rsidRDefault="00D45EAF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 xml:space="preserve">There were requests for further reading and examples.  I am attaching some bibliographies with relevant material.  </w:t>
      </w:r>
      <w:r w:rsidR="001A5776" w:rsidRPr="00E90063">
        <w:rPr>
          <w:rFonts w:ascii="Arial" w:hAnsi="Arial" w:cs="Arial"/>
          <w:sz w:val="24"/>
          <w:szCs w:val="24"/>
        </w:rPr>
        <w:t xml:space="preserve">I’m attaching a short one featuring my </w:t>
      </w:r>
      <w:r w:rsidR="006404DD" w:rsidRPr="00E90063">
        <w:rPr>
          <w:rFonts w:ascii="Arial" w:hAnsi="Arial" w:cs="Arial"/>
          <w:sz w:val="24"/>
          <w:szCs w:val="24"/>
        </w:rPr>
        <w:t xml:space="preserve">personal </w:t>
      </w:r>
      <w:r w:rsidR="001A5776" w:rsidRPr="00E90063">
        <w:rPr>
          <w:rFonts w:ascii="Arial" w:hAnsi="Arial" w:cs="Arial"/>
          <w:sz w:val="24"/>
          <w:szCs w:val="24"/>
        </w:rPr>
        <w:t xml:space="preserve">favourite selections </w:t>
      </w:r>
      <w:r w:rsidR="006404DD" w:rsidRPr="00E90063">
        <w:rPr>
          <w:rFonts w:ascii="Arial" w:hAnsi="Arial" w:cs="Arial"/>
          <w:sz w:val="24"/>
          <w:szCs w:val="24"/>
        </w:rPr>
        <w:t>and a really long one.</w:t>
      </w:r>
    </w:p>
    <w:p w:rsidR="00D45EAF" w:rsidRPr="00E90063" w:rsidRDefault="00D45EAF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 xml:space="preserve">You might also be interested in the PG Cert and </w:t>
      </w:r>
      <w:hyperlink r:id="rId6" w:history="1">
        <w:r w:rsidRPr="00E90063">
          <w:rPr>
            <w:rStyle w:val="Hyperlink"/>
            <w:rFonts w:ascii="Arial" w:hAnsi="Arial" w:cs="Arial"/>
            <w:sz w:val="24"/>
            <w:szCs w:val="24"/>
          </w:rPr>
          <w:t>MA in Student Engagement</w:t>
        </w:r>
      </w:hyperlink>
      <w:r w:rsidRPr="00E90063">
        <w:rPr>
          <w:rFonts w:ascii="Arial" w:hAnsi="Arial" w:cs="Arial"/>
          <w:sz w:val="24"/>
          <w:szCs w:val="24"/>
        </w:rPr>
        <w:t xml:space="preserve"> at the University of Winchester (blended learning </w:t>
      </w:r>
      <w:r w:rsidR="001A5776" w:rsidRPr="00E90063">
        <w:rPr>
          <w:rFonts w:ascii="Arial" w:hAnsi="Arial" w:cs="Arial"/>
          <w:sz w:val="24"/>
          <w:szCs w:val="24"/>
        </w:rPr>
        <w:t xml:space="preserve">delivery, but mostly remote) if </w:t>
      </w:r>
      <w:r w:rsidRPr="00E90063">
        <w:rPr>
          <w:rFonts w:ascii="Arial" w:hAnsi="Arial" w:cs="Arial"/>
          <w:sz w:val="24"/>
          <w:szCs w:val="24"/>
        </w:rPr>
        <w:t>you are super keen.</w:t>
      </w:r>
    </w:p>
    <w:p w:rsidR="006404DD" w:rsidRPr="00E90063" w:rsidRDefault="001A5776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 xml:space="preserve">The Cathy </w:t>
      </w:r>
      <w:proofErr w:type="spellStart"/>
      <w:r w:rsidRPr="00E90063">
        <w:rPr>
          <w:rFonts w:ascii="Arial" w:hAnsi="Arial" w:cs="Arial"/>
          <w:sz w:val="24"/>
          <w:szCs w:val="24"/>
        </w:rPr>
        <w:t>Bovill</w:t>
      </w:r>
      <w:proofErr w:type="spellEnd"/>
      <w:r w:rsidRPr="00E90063">
        <w:rPr>
          <w:rFonts w:ascii="Arial" w:hAnsi="Arial" w:cs="Arial"/>
          <w:sz w:val="24"/>
          <w:szCs w:val="24"/>
        </w:rPr>
        <w:t xml:space="preserve"> chapter that was part of the preparation pack does include a number of examples from a range of different universities, and there are more in her </w:t>
      </w:r>
      <w:hyperlink r:id="rId7" w:history="1">
        <w:r w:rsidRPr="00E90063">
          <w:rPr>
            <w:rStyle w:val="Hyperlink"/>
            <w:rFonts w:ascii="Arial" w:hAnsi="Arial" w:cs="Arial"/>
            <w:sz w:val="24"/>
            <w:szCs w:val="24"/>
          </w:rPr>
          <w:t>book</w:t>
        </w:r>
      </w:hyperlink>
      <w:r w:rsidRPr="00E90063">
        <w:rPr>
          <w:rFonts w:ascii="Arial" w:hAnsi="Arial" w:cs="Arial"/>
          <w:sz w:val="24"/>
          <w:szCs w:val="24"/>
        </w:rPr>
        <w:t xml:space="preserve">, </w:t>
      </w:r>
      <w:r w:rsidRPr="00E90063">
        <w:rPr>
          <w:rFonts w:ascii="Arial" w:hAnsi="Arial" w:cs="Arial"/>
          <w:i/>
          <w:sz w:val="24"/>
          <w:szCs w:val="24"/>
        </w:rPr>
        <w:t>Co-Creating Teaching and Learning</w:t>
      </w:r>
      <w:r w:rsidRPr="00E90063">
        <w:rPr>
          <w:rFonts w:ascii="Arial" w:hAnsi="Arial" w:cs="Arial"/>
          <w:sz w:val="24"/>
          <w:szCs w:val="24"/>
        </w:rPr>
        <w:t xml:space="preserve"> (2020).  I would also recommend that you join a sector-wide community of practice.  I heartily recommend </w:t>
      </w:r>
      <w:hyperlink r:id="rId8" w:history="1">
        <w:r w:rsidRPr="00E90063">
          <w:rPr>
            <w:rStyle w:val="Hyperlink"/>
            <w:rFonts w:ascii="Arial" w:hAnsi="Arial" w:cs="Arial"/>
            <w:sz w:val="24"/>
            <w:szCs w:val="24"/>
          </w:rPr>
          <w:t xml:space="preserve">Researching and </w:t>
        </w:r>
        <w:proofErr w:type="spellStart"/>
        <w:r w:rsidRPr="00E90063">
          <w:rPr>
            <w:rStyle w:val="Hyperlink"/>
            <w:rFonts w:ascii="Arial" w:hAnsi="Arial" w:cs="Arial"/>
            <w:sz w:val="24"/>
            <w:szCs w:val="24"/>
          </w:rPr>
          <w:t>Inspriring</w:t>
        </w:r>
        <w:proofErr w:type="spellEnd"/>
        <w:r w:rsidRPr="00E90063">
          <w:rPr>
            <w:rStyle w:val="Hyperlink"/>
            <w:rFonts w:ascii="Arial" w:hAnsi="Arial" w:cs="Arial"/>
            <w:sz w:val="24"/>
            <w:szCs w:val="24"/>
          </w:rPr>
          <w:t xml:space="preserve"> Student Engagement</w:t>
        </w:r>
      </w:hyperlink>
      <w:r w:rsidRPr="00E90063">
        <w:rPr>
          <w:rFonts w:ascii="Arial" w:hAnsi="Arial" w:cs="Arial"/>
          <w:sz w:val="24"/>
          <w:szCs w:val="24"/>
        </w:rPr>
        <w:t xml:space="preserve">  (</w:t>
      </w:r>
      <w:r w:rsidR="006404DD" w:rsidRPr="00E90063">
        <w:rPr>
          <w:rFonts w:ascii="Arial" w:hAnsi="Arial" w:cs="Arial"/>
          <w:sz w:val="24"/>
          <w:szCs w:val="24"/>
        </w:rPr>
        <w:t xml:space="preserve">RAISE). </w:t>
      </w:r>
      <w:r w:rsidRPr="00E90063">
        <w:rPr>
          <w:rFonts w:ascii="Arial" w:hAnsi="Arial" w:cs="Arial"/>
          <w:sz w:val="24"/>
          <w:szCs w:val="24"/>
        </w:rPr>
        <w:t xml:space="preserve"> There is a </w:t>
      </w:r>
      <w:hyperlink r:id="rId9" w:history="1">
        <w:r w:rsidRPr="00E90063">
          <w:rPr>
            <w:rStyle w:val="Hyperlink"/>
            <w:rFonts w:ascii="Arial" w:hAnsi="Arial" w:cs="Arial"/>
            <w:sz w:val="24"/>
            <w:szCs w:val="24"/>
          </w:rPr>
          <w:t>reading group session</w:t>
        </w:r>
      </w:hyperlink>
      <w:r w:rsidRPr="00E90063">
        <w:rPr>
          <w:rFonts w:ascii="Arial" w:hAnsi="Arial" w:cs="Arial"/>
          <w:sz w:val="24"/>
          <w:szCs w:val="24"/>
        </w:rPr>
        <w:t xml:space="preserve"> on July </w:t>
      </w:r>
      <w:proofErr w:type="gramStart"/>
      <w:r w:rsidRPr="00E90063">
        <w:rPr>
          <w:rFonts w:ascii="Arial" w:hAnsi="Arial" w:cs="Arial"/>
          <w:sz w:val="24"/>
          <w:szCs w:val="24"/>
        </w:rPr>
        <w:t>7</w:t>
      </w:r>
      <w:r w:rsidRPr="00E90063">
        <w:rPr>
          <w:rFonts w:ascii="Arial" w:hAnsi="Arial" w:cs="Arial"/>
          <w:sz w:val="24"/>
          <w:szCs w:val="24"/>
          <w:vertAlign w:val="superscript"/>
        </w:rPr>
        <w:t>th</w:t>
      </w:r>
      <w:r w:rsidRPr="00E90063">
        <w:rPr>
          <w:rFonts w:ascii="Arial" w:hAnsi="Arial" w:cs="Arial"/>
          <w:sz w:val="24"/>
          <w:szCs w:val="24"/>
        </w:rPr>
        <w:t xml:space="preserve"> </w:t>
      </w:r>
      <w:r w:rsidR="0067183E" w:rsidRPr="00E90063">
        <w:rPr>
          <w:rFonts w:ascii="Arial" w:hAnsi="Arial" w:cs="Arial"/>
          <w:sz w:val="24"/>
          <w:szCs w:val="24"/>
        </w:rPr>
        <w:t xml:space="preserve"> 4</w:t>
      </w:r>
      <w:proofErr w:type="gramEnd"/>
      <w:r w:rsidR="0067183E" w:rsidRPr="00E90063">
        <w:rPr>
          <w:rFonts w:ascii="Arial" w:hAnsi="Arial" w:cs="Arial"/>
          <w:sz w:val="24"/>
          <w:szCs w:val="24"/>
        </w:rPr>
        <w:t xml:space="preserve">-5pm, </w:t>
      </w:r>
      <w:r w:rsidRPr="00E90063">
        <w:rPr>
          <w:rFonts w:ascii="Arial" w:hAnsi="Arial" w:cs="Arial"/>
          <w:sz w:val="24"/>
          <w:szCs w:val="24"/>
        </w:rPr>
        <w:t xml:space="preserve">focusing on Co-Creation, if you are interested.  </w:t>
      </w:r>
    </w:p>
    <w:p w:rsidR="006404DD" w:rsidRPr="00E90063" w:rsidRDefault="006404DD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>Some participants wanted more in terms of teaching tips, and examples of co-creation in online settings.  Hopefully the resources listed above will also help with this, but I just wanted to point out a few of the implicit tips</w:t>
      </w:r>
      <w:r w:rsidR="005109C1" w:rsidRPr="00E90063">
        <w:rPr>
          <w:rFonts w:ascii="Arial" w:hAnsi="Arial" w:cs="Arial"/>
          <w:sz w:val="24"/>
          <w:szCs w:val="24"/>
        </w:rPr>
        <w:t xml:space="preserve"> co-designing online teaching</w:t>
      </w:r>
      <w:r w:rsidRPr="00E90063">
        <w:rPr>
          <w:rFonts w:ascii="Arial" w:hAnsi="Arial" w:cs="Arial"/>
          <w:sz w:val="24"/>
          <w:szCs w:val="24"/>
        </w:rPr>
        <w:t xml:space="preserve"> from the activity today.</w:t>
      </w:r>
    </w:p>
    <w:p w:rsidR="006404DD" w:rsidRPr="00E90063" w:rsidRDefault="006404DD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Preparatory materials and welcome documents.</w:t>
      </w:r>
      <w:r w:rsidRPr="00E90063">
        <w:rPr>
          <w:rFonts w:ascii="Arial" w:hAnsi="Arial" w:cs="Arial"/>
          <w:sz w:val="24"/>
          <w:szCs w:val="24"/>
        </w:rPr>
        <w:t xml:space="preserve">  These are very important, and I’m sorry these did not get to you on time.  I’m afraid I wasn’t in control of that end of the process.  It does show how important these are for online teaching/design sessions though, and the number of comments I had back about that does underline that emphatically.</w:t>
      </w:r>
    </w:p>
    <w:p w:rsidR="005109C1" w:rsidRPr="00E90063" w:rsidRDefault="0067183E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Welcome</w:t>
      </w:r>
      <w:r w:rsidRPr="00E90063">
        <w:rPr>
          <w:rFonts w:ascii="Arial" w:hAnsi="Arial" w:cs="Arial"/>
          <w:sz w:val="24"/>
          <w:szCs w:val="24"/>
        </w:rPr>
        <w:t xml:space="preserve">. </w:t>
      </w:r>
      <w:r w:rsidR="005109C1" w:rsidRPr="00E90063">
        <w:rPr>
          <w:rFonts w:ascii="Arial" w:hAnsi="Arial" w:cs="Arial"/>
          <w:sz w:val="24"/>
          <w:szCs w:val="24"/>
        </w:rPr>
        <w:t>I hope you felt welcome at the beginning of the session.  It is difficult to build a learning community online from scratch in an hour; the break-out rooms were a particular function for that</w:t>
      </w:r>
      <w:r w:rsidRPr="00E90063">
        <w:rPr>
          <w:rFonts w:ascii="Arial" w:hAnsi="Arial" w:cs="Arial"/>
          <w:sz w:val="24"/>
          <w:szCs w:val="24"/>
        </w:rPr>
        <w:t>.  (I’m sorry we ran out of time to sum up the outcomes from those groups).</w:t>
      </w:r>
    </w:p>
    <w:p w:rsidR="006404DD" w:rsidRPr="00E90063" w:rsidRDefault="0067183E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Participant leadership</w:t>
      </w:r>
      <w:r w:rsidRPr="00E90063">
        <w:rPr>
          <w:rFonts w:ascii="Arial" w:hAnsi="Arial" w:cs="Arial"/>
          <w:sz w:val="24"/>
          <w:szCs w:val="24"/>
        </w:rPr>
        <w:t xml:space="preserve">: </w:t>
      </w:r>
      <w:r w:rsidR="006404DD" w:rsidRPr="00E90063">
        <w:rPr>
          <w:rFonts w:ascii="Arial" w:hAnsi="Arial" w:cs="Arial"/>
          <w:sz w:val="24"/>
          <w:szCs w:val="24"/>
        </w:rPr>
        <w:t>I did invite one of the participants of the day to take over the ‘chat management’.  This is a</w:t>
      </w:r>
      <w:r w:rsidRPr="00E90063">
        <w:rPr>
          <w:rFonts w:ascii="Arial" w:hAnsi="Arial" w:cs="Arial"/>
          <w:sz w:val="24"/>
          <w:szCs w:val="24"/>
        </w:rPr>
        <w:t>n example of a</w:t>
      </w:r>
      <w:r w:rsidR="006404DD" w:rsidRPr="00E90063">
        <w:rPr>
          <w:rFonts w:ascii="Arial" w:hAnsi="Arial" w:cs="Arial"/>
          <w:sz w:val="24"/>
          <w:szCs w:val="24"/>
        </w:rPr>
        <w:t xml:space="preserve"> student co-leadership activity, and although may not seem like much, does give students a bit of control over a session (being able to stop and start and </w:t>
      </w:r>
      <w:r w:rsidRPr="00E90063">
        <w:rPr>
          <w:rFonts w:ascii="Arial" w:hAnsi="Arial" w:cs="Arial"/>
          <w:sz w:val="24"/>
          <w:szCs w:val="24"/>
        </w:rPr>
        <w:t xml:space="preserve">being </w:t>
      </w:r>
      <w:r w:rsidR="006404DD" w:rsidRPr="00E90063">
        <w:rPr>
          <w:rFonts w:ascii="Arial" w:hAnsi="Arial" w:cs="Arial"/>
          <w:sz w:val="24"/>
          <w:szCs w:val="24"/>
        </w:rPr>
        <w:t>given clear permission to interrupt).</w:t>
      </w:r>
      <w:r w:rsidRPr="00E90063">
        <w:rPr>
          <w:rFonts w:ascii="Arial" w:hAnsi="Arial" w:cs="Arial"/>
          <w:sz w:val="24"/>
          <w:szCs w:val="24"/>
        </w:rPr>
        <w:t xml:space="preserve">  Students can also manage break-out rooms too if you have a bit more time to set that up.</w:t>
      </w:r>
    </w:p>
    <w:p w:rsidR="006404DD" w:rsidRPr="00E90063" w:rsidRDefault="0067183E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Tailored content:</w:t>
      </w:r>
      <w:r w:rsidRPr="00E90063">
        <w:rPr>
          <w:rFonts w:ascii="Arial" w:hAnsi="Arial" w:cs="Arial"/>
          <w:sz w:val="24"/>
          <w:szCs w:val="24"/>
        </w:rPr>
        <w:t xml:space="preserve"> </w:t>
      </w:r>
      <w:r w:rsidR="006404DD" w:rsidRPr="00E90063">
        <w:rPr>
          <w:rFonts w:ascii="Arial" w:hAnsi="Arial" w:cs="Arial"/>
          <w:sz w:val="24"/>
          <w:szCs w:val="24"/>
        </w:rPr>
        <w:t xml:space="preserve">In the requests at the beginning </w:t>
      </w:r>
      <w:r w:rsidRPr="00E90063">
        <w:rPr>
          <w:rFonts w:ascii="Arial" w:hAnsi="Arial" w:cs="Arial"/>
          <w:sz w:val="24"/>
          <w:szCs w:val="24"/>
        </w:rPr>
        <w:t xml:space="preserve">of the session, </w:t>
      </w:r>
      <w:r w:rsidR="006404DD" w:rsidRPr="00E90063">
        <w:rPr>
          <w:rFonts w:ascii="Arial" w:hAnsi="Arial" w:cs="Arial"/>
          <w:sz w:val="24"/>
          <w:szCs w:val="24"/>
        </w:rPr>
        <w:t xml:space="preserve">for your </w:t>
      </w:r>
      <w:r w:rsidRPr="00E90063">
        <w:rPr>
          <w:rFonts w:ascii="Arial" w:hAnsi="Arial" w:cs="Arial"/>
          <w:sz w:val="24"/>
          <w:szCs w:val="24"/>
        </w:rPr>
        <w:t xml:space="preserve">anticipated </w:t>
      </w:r>
      <w:r w:rsidR="006404DD" w:rsidRPr="00E90063">
        <w:rPr>
          <w:rFonts w:ascii="Arial" w:hAnsi="Arial" w:cs="Arial"/>
          <w:sz w:val="24"/>
          <w:szCs w:val="24"/>
        </w:rPr>
        <w:t>content, and in the choices made of which ‘room’ you went into, participants had some choice over tailoring the content of the session</w:t>
      </w:r>
      <w:r w:rsidRPr="00E90063">
        <w:rPr>
          <w:rFonts w:ascii="Arial" w:hAnsi="Arial" w:cs="Arial"/>
          <w:sz w:val="24"/>
          <w:szCs w:val="24"/>
        </w:rPr>
        <w:t xml:space="preserve"> to their interests</w:t>
      </w:r>
      <w:r w:rsidR="005109C1" w:rsidRPr="00E90063">
        <w:rPr>
          <w:rFonts w:ascii="Arial" w:hAnsi="Arial" w:cs="Arial"/>
          <w:sz w:val="24"/>
          <w:szCs w:val="24"/>
        </w:rPr>
        <w:t xml:space="preserve">.  In those breakout rooms, the content was what people brought to the session </w:t>
      </w:r>
      <w:proofErr w:type="gramStart"/>
      <w:r w:rsidR="005109C1" w:rsidRPr="00E90063">
        <w:rPr>
          <w:rFonts w:ascii="Arial" w:hAnsi="Arial" w:cs="Arial"/>
          <w:sz w:val="24"/>
          <w:szCs w:val="24"/>
        </w:rPr>
        <w:t>themselves</w:t>
      </w:r>
      <w:proofErr w:type="gramEnd"/>
      <w:r w:rsidR="005109C1" w:rsidRPr="00E90063">
        <w:rPr>
          <w:rFonts w:ascii="Arial" w:hAnsi="Arial" w:cs="Arial"/>
          <w:sz w:val="24"/>
          <w:szCs w:val="24"/>
        </w:rPr>
        <w:t xml:space="preserve"> (and in the feedback, people noted that this shared experience was helpful).</w:t>
      </w:r>
      <w:r w:rsidRPr="00E90063">
        <w:rPr>
          <w:rFonts w:ascii="Arial" w:hAnsi="Arial" w:cs="Arial"/>
          <w:sz w:val="24"/>
          <w:szCs w:val="24"/>
        </w:rPr>
        <w:t xml:space="preserve">  If we were to have a sequence of sessions, we could build outputs from </w:t>
      </w:r>
      <w:proofErr w:type="gramStart"/>
      <w:r w:rsidRPr="00E90063">
        <w:rPr>
          <w:rFonts w:ascii="Arial" w:hAnsi="Arial" w:cs="Arial"/>
          <w:sz w:val="24"/>
          <w:szCs w:val="24"/>
        </w:rPr>
        <w:t>those break</w:t>
      </w:r>
      <w:proofErr w:type="gramEnd"/>
      <w:r w:rsidRPr="00E90063">
        <w:rPr>
          <w:rFonts w:ascii="Arial" w:hAnsi="Arial" w:cs="Arial"/>
          <w:sz w:val="24"/>
          <w:szCs w:val="24"/>
        </w:rPr>
        <w:t xml:space="preserve"> out rooms week on week.</w:t>
      </w:r>
    </w:p>
    <w:p w:rsidR="005109C1" w:rsidRPr="00E90063" w:rsidRDefault="0067183E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Polling and chat.</w:t>
      </w:r>
      <w:r w:rsidRPr="00E90063">
        <w:rPr>
          <w:rFonts w:ascii="Arial" w:hAnsi="Arial" w:cs="Arial"/>
          <w:sz w:val="24"/>
          <w:szCs w:val="24"/>
        </w:rPr>
        <w:t xml:space="preserve">  </w:t>
      </w:r>
      <w:r w:rsidR="005109C1" w:rsidRPr="00E90063">
        <w:rPr>
          <w:rFonts w:ascii="Arial" w:hAnsi="Arial" w:cs="Arial"/>
          <w:sz w:val="24"/>
          <w:szCs w:val="24"/>
        </w:rPr>
        <w:t xml:space="preserve">The use of the polling and the chat and the screen annotation functions are all digital engagement strategies, and they help to </w:t>
      </w:r>
      <w:r w:rsidR="005109C1" w:rsidRPr="00E90063">
        <w:rPr>
          <w:rFonts w:ascii="Arial" w:hAnsi="Arial" w:cs="Arial"/>
          <w:sz w:val="24"/>
          <w:szCs w:val="24"/>
        </w:rPr>
        <w:lastRenderedPageBreak/>
        <w:t xml:space="preserve">keep participants engaged and also give you </w:t>
      </w:r>
      <w:r w:rsidRPr="00E90063">
        <w:rPr>
          <w:rFonts w:ascii="Arial" w:hAnsi="Arial" w:cs="Arial"/>
          <w:sz w:val="24"/>
          <w:szCs w:val="24"/>
        </w:rPr>
        <w:t xml:space="preserve">as session leader </w:t>
      </w:r>
      <w:r w:rsidR="005109C1" w:rsidRPr="00E90063">
        <w:rPr>
          <w:rFonts w:ascii="Arial" w:hAnsi="Arial" w:cs="Arial"/>
          <w:sz w:val="24"/>
          <w:szCs w:val="24"/>
        </w:rPr>
        <w:t>a sense of what else might be needed.</w:t>
      </w:r>
    </w:p>
    <w:p w:rsidR="005109C1" w:rsidRPr="00E90063" w:rsidRDefault="005109C1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The end-of-session questionnaire</w:t>
      </w:r>
      <w:r w:rsidR="0067183E" w:rsidRPr="00E90063">
        <w:rPr>
          <w:rFonts w:ascii="Arial" w:hAnsi="Arial" w:cs="Arial"/>
          <w:sz w:val="24"/>
          <w:szCs w:val="24"/>
        </w:rPr>
        <w:t xml:space="preserve">: </w:t>
      </w:r>
      <w:r w:rsidRPr="00E90063">
        <w:rPr>
          <w:rFonts w:ascii="Arial" w:hAnsi="Arial" w:cs="Arial"/>
          <w:sz w:val="24"/>
          <w:szCs w:val="24"/>
        </w:rPr>
        <w:t>if this session were part of a sequence, I could make sure I provided more of what you wanted for next time.  I am hoping this post-session round-up fills in some of the gaps.  But you are my co-creators, telling me what you want more of, so I can help you find it.</w:t>
      </w:r>
    </w:p>
    <w:p w:rsidR="0067183E" w:rsidRPr="00E90063" w:rsidRDefault="0067183E" w:rsidP="006404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b/>
          <w:sz w:val="24"/>
          <w:szCs w:val="24"/>
        </w:rPr>
        <w:t>Module evaluation questionnaires</w:t>
      </w:r>
      <w:r w:rsidRPr="00E90063">
        <w:rPr>
          <w:rFonts w:ascii="Arial" w:hAnsi="Arial" w:cs="Arial"/>
          <w:sz w:val="24"/>
          <w:szCs w:val="24"/>
        </w:rPr>
        <w:t xml:space="preserve">: I can’t promise these can be changed as some folks are very wedded to them, but I am working with the </w:t>
      </w:r>
      <w:proofErr w:type="spellStart"/>
      <w:r w:rsidRPr="00E90063">
        <w:rPr>
          <w:rFonts w:ascii="Arial" w:hAnsi="Arial" w:cs="Arial"/>
          <w:sz w:val="24"/>
          <w:szCs w:val="24"/>
        </w:rPr>
        <w:t>StEER</w:t>
      </w:r>
      <w:proofErr w:type="spellEnd"/>
      <w:r w:rsidRPr="00E90063">
        <w:rPr>
          <w:rFonts w:ascii="Arial" w:hAnsi="Arial" w:cs="Arial"/>
          <w:sz w:val="24"/>
          <w:szCs w:val="24"/>
        </w:rPr>
        <w:t xml:space="preserve"> team and a group of our student researchers to evaluate the existing practice.  We hear you.</w:t>
      </w:r>
    </w:p>
    <w:p w:rsidR="0067183E" w:rsidRPr="00E90063" w:rsidRDefault="0067183E" w:rsidP="0067183E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 xml:space="preserve">Please feel free to contact me on </w:t>
      </w:r>
      <w:hyperlink r:id="rId10" w:history="1">
        <w:r w:rsidRPr="00E90063">
          <w:rPr>
            <w:rStyle w:val="Hyperlink"/>
            <w:rFonts w:ascii="Arial" w:hAnsi="Arial" w:cs="Arial"/>
            <w:sz w:val="24"/>
            <w:szCs w:val="24"/>
          </w:rPr>
          <w:t>j.lebihan@shu.ac.uk</w:t>
        </w:r>
      </w:hyperlink>
      <w:r w:rsidRPr="00E90063">
        <w:rPr>
          <w:rFonts w:ascii="Arial" w:hAnsi="Arial" w:cs="Arial"/>
          <w:sz w:val="24"/>
          <w:szCs w:val="24"/>
        </w:rPr>
        <w:t xml:space="preserve"> if there is anything I have missed or anything else you think we could help you with.</w:t>
      </w:r>
    </w:p>
    <w:p w:rsidR="00F861AF" w:rsidRPr="00E90063" w:rsidRDefault="00F861AF" w:rsidP="0067183E">
      <w:pPr>
        <w:rPr>
          <w:rFonts w:ascii="Arial" w:hAnsi="Arial" w:cs="Arial"/>
          <w:sz w:val="24"/>
          <w:szCs w:val="24"/>
        </w:rPr>
      </w:pPr>
      <w:r w:rsidRPr="00E90063">
        <w:rPr>
          <w:rFonts w:ascii="Arial" w:hAnsi="Arial" w:cs="Arial"/>
          <w:sz w:val="24"/>
          <w:szCs w:val="24"/>
        </w:rPr>
        <w:t xml:space="preserve">You might also want to visit the </w:t>
      </w:r>
      <w:hyperlink r:id="rId11" w:history="1">
        <w:r w:rsidRPr="00E90063">
          <w:rPr>
            <w:rStyle w:val="Hyperlink"/>
            <w:rFonts w:ascii="Arial" w:hAnsi="Arial" w:cs="Arial"/>
            <w:sz w:val="24"/>
            <w:szCs w:val="24"/>
          </w:rPr>
          <w:t>Teaching Delivery blog,</w:t>
        </w:r>
      </w:hyperlink>
      <w:r w:rsidRPr="00E90063">
        <w:rPr>
          <w:rFonts w:ascii="Arial" w:hAnsi="Arial" w:cs="Arial"/>
          <w:sz w:val="24"/>
          <w:szCs w:val="24"/>
        </w:rPr>
        <w:t xml:space="preserve"> which has quite a lot of practical suggestions for blended learning.</w:t>
      </w:r>
    </w:p>
    <w:p w:rsidR="00F861AF" w:rsidRDefault="00F861AF" w:rsidP="0067183E"/>
    <w:p w:rsidR="001D352A" w:rsidRDefault="001D352A" w:rsidP="001D352A">
      <w:pPr>
        <w:pStyle w:val="Heading1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Selected Further Reading on Student Engagement and Co-design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Bovill</w:t>
      </w:r>
      <w:proofErr w:type="spellEnd"/>
      <w:r>
        <w:rPr>
          <w:rFonts w:ascii="Arial" w:hAnsi="Arial" w:cs="Arial"/>
          <w:sz w:val="24"/>
          <w:szCs w:val="24"/>
        </w:rPr>
        <w:t>, C. (2020) Co-creating Teaching and Learning: Towards Relational Pedagogy in Higher Education.  UK: Critical Publishing.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Bryson, C. (ed.) (2014) </w:t>
      </w:r>
      <w:r>
        <w:rPr>
          <w:rFonts w:ascii="Arial" w:hAnsi="Arial" w:cs="Arial"/>
          <w:iCs/>
          <w:sz w:val="24"/>
          <w:szCs w:val="24"/>
        </w:rPr>
        <w:t>Understanding and Developing Student Engagement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London: Routledge.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Bryson, C. and Hardy, C. (2011) </w:t>
      </w:r>
      <w:r>
        <w:rPr>
          <w:rFonts w:ascii="Arial" w:hAnsi="Arial" w:cs="Arial"/>
          <w:iCs/>
          <w:sz w:val="24"/>
          <w:szCs w:val="24"/>
        </w:rPr>
        <w:t>Student engagement: Paradigm change or political expediency?</w:t>
      </w:r>
      <w:r>
        <w:rPr>
          <w:rFonts w:ascii="Arial" w:hAnsi="Arial" w:cs="Arial"/>
          <w:i/>
          <w:iCs/>
          <w:sz w:val="24"/>
          <w:szCs w:val="24"/>
        </w:rPr>
        <w:t xml:space="preserve"> — </w:t>
      </w:r>
      <w:r>
        <w:rPr>
          <w:rFonts w:ascii="Arial" w:hAnsi="Arial" w:cs="Arial"/>
          <w:iCs/>
          <w:sz w:val="24"/>
          <w:szCs w:val="24"/>
        </w:rPr>
        <w:t>ADM-HEA</w:t>
      </w:r>
      <w:r>
        <w:rPr>
          <w:rFonts w:ascii="Arial" w:hAnsi="Arial" w:cs="Arial"/>
          <w:sz w:val="24"/>
          <w:szCs w:val="24"/>
        </w:rPr>
        <w:t xml:space="preserve">. Available at: http://www.adm.heacademy.ac.uk/resources/features/student-engagement-paradigm-change-or-political-expediency/ </w:t>
      </w:r>
    </w:p>
    <w:p w:rsidR="001D352A" w:rsidRDefault="001D352A" w:rsidP="001D35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Bryson, C. et al (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eds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) (2018) ‘Proceedings of the RAISE International Colloquium on Partnership’.  </w:t>
      </w:r>
      <w:proofErr w:type="gramStart"/>
      <w:r>
        <w:rPr>
          <w:rFonts w:ascii="Arial" w:hAnsi="Arial" w:cs="Arial"/>
          <w:sz w:val="24"/>
          <w:szCs w:val="24"/>
        </w:rPr>
        <w:t>Student Engagement in Higher Education Journal, 2, 1.</w:t>
      </w:r>
      <w:proofErr w:type="gramEnd"/>
      <w:r>
        <w:rPr>
          <w:rFonts w:ascii="Arial" w:hAnsi="Arial" w:cs="Arial"/>
          <w:sz w:val="24"/>
          <w:szCs w:val="24"/>
        </w:rPr>
        <w:t xml:space="preserve">  https://journals.gre.ac.uk/index.php/raise/article/view/Bryson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Deeley</w:t>
      </w:r>
      <w:proofErr w:type="spellEnd"/>
      <w:r>
        <w:rPr>
          <w:rFonts w:ascii="Arial" w:hAnsi="Arial" w:cs="Arial"/>
          <w:sz w:val="24"/>
          <w:szCs w:val="24"/>
        </w:rPr>
        <w:t xml:space="preserve">, S.J. and </w:t>
      </w:r>
      <w:proofErr w:type="spellStart"/>
      <w:r>
        <w:rPr>
          <w:rFonts w:ascii="Arial" w:hAnsi="Arial" w:cs="Arial"/>
          <w:sz w:val="24"/>
          <w:szCs w:val="24"/>
        </w:rPr>
        <w:t>Bovill</w:t>
      </w:r>
      <w:proofErr w:type="spellEnd"/>
      <w:r>
        <w:rPr>
          <w:rFonts w:ascii="Arial" w:hAnsi="Arial" w:cs="Arial"/>
          <w:sz w:val="24"/>
          <w:szCs w:val="24"/>
        </w:rPr>
        <w:t xml:space="preserve">, C. (2015) ‘Staff student partnership in assessment: Enhancing assessment literacy through democratic practices’, </w:t>
      </w:r>
      <w:r>
        <w:rPr>
          <w:rFonts w:ascii="Arial" w:hAnsi="Arial" w:cs="Arial"/>
          <w:iCs/>
          <w:sz w:val="24"/>
          <w:szCs w:val="24"/>
        </w:rPr>
        <w:t>Assessment &amp; Evaluation in Higher Education</w:t>
      </w:r>
      <w:r>
        <w:rPr>
          <w:rFonts w:ascii="Arial" w:hAnsi="Arial" w:cs="Arial"/>
          <w:sz w:val="24"/>
          <w:szCs w:val="24"/>
        </w:rPr>
        <w:t xml:space="preserve">, pp. 1–15.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10.1080/02602938.2015.1126551.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Healey, M., Flint, A. and Harrington, K. (2014) </w:t>
      </w:r>
      <w:r>
        <w:rPr>
          <w:rFonts w:ascii="Arial" w:hAnsi="Arial" w:cs="Arial"/>
          <w:iCs/>
          <w:sz w:val="24"/>
          <w:szCs w:val="24"/>
        </w:rPr>
        <w:t>Engagement through partnership: Students as partners in learning and teaching in higher education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Available at: https://www.heacademy.ac.uk/sites/default/files/resources/engagement_through_partnership.pdf (Accessed: 6 April 2016).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Lowe ,</w:t>
      </w:r>
      <w:proofErr w:type="gramEnd"/>
      <w:r>
        <w:rPr>
          <w:rFonts w:ascii="Arial" w:hAnsi="Arial" w:cs="Arial"/>
          <w:sz w:val="24"/>
          <w:szCs w:val="24"/>
        </w:rPr>
        <w:t xml:space="preserve"> T. &amp; El Hakim, Y. (2020) </w:t>
      </w:r>
      <w:r>
        <w:rPr>
          <w:rFonts w:ascii="Arial" w:hAnsi="Arial" w:cs="Arial"/>
          <w:iCs/>
          <w:sz w:val="24"/>
          <w:szCs w:val="24"/>
        </w:rPr>
        <w:t>A Handbook for Student Engagement in Higher Education: Theory into Practic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Routledge.</w:t>
      </w:r>
    </w:p>
    <w:p w:rsidR="001D352A" w:rsidRDefault="001D352A" w:rsidP="001D3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Piper, R. and Emmanuel, T. (2019)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Co-producing Mental Health Strategies with Students: A Guide for the Higher Education Sector.</w:t>
      </w:r>
      <w:proofErr w:type="gramEnd"/>
      <w:r>
        <w:rPr>
          <w:rFonts w:ascii="Arial" w:hAnsi="Arial" w:cs="Arial"/>
          <w:sz w:val="24"/>
          <w:szCs w:val="24"/>
        </w:rPr>
        <w:t xml:space="preserve">  Available online: https://www.studentminds.org.uk/uploads/3/7/8/4/3784584/cpdn_document_artwork.pdf Published under Creative Commons License for Student Minds.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Streeting</w:t>
      </w:r>
      <w:proofErr w:type="spellEnd"/>
      <w:r>
        <w:rPr>
          <w:rFonts w:ascii="Arial" w:hAnsi="Arial" w:cs="Arial"/>
          <w:sz w:val="24"/>
          <w:szCs w:val="24"/>
        </w:rPr>
        <w:t xml:space="preserve">, W. and Wise, G. (2009) </w:t>
      </w:r>
      <w:r>
        <w:rPr>
          <w:rFonts w:ascii="Arial" w:hAnsi="Arial" w:cs="Arial"/>
          <w:iCs/>
          <w:sz w:val="24"/>
          <w:szCs w:val="24"/>
        </w:rPr>
        <w:t>Rethinking the values of higher education -consumption, partnership, community?</w:t>
      </w:r>
      <w:r>
        <w:rPr>
          <w:rFonts w:ascii="Arial" w:hAnsi="Arial" w:cs="Arial"/>
          <w:sz w:val="24"/>
          <w:szCs w:val="24"/>
        </w:rPr>
        <w:t xml:space="preserve"> Available at: http://www.sparqs.ac.uk/ch/F2%20Rethinking%20the%20Values%20of%20Higher%20Education.pdf (Accessed: 14 December 2015).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Wright, H. (2015) </w:t>
      </w:r>
      <w:r>
        <w:rPr>
          <w:rFonts w:ascii="Arial" w:hAnsi="Arial" w:cs="Arial"/>
          <w:iCs/>
          <w:sz w:val="24"/>
          <w:szCs w:val="24"/>
        </w:rPr>
        <w:t>Guild HE Student Engagement Report</w:t>
      </w:r>
      <w:r>
        <w:rPr>
          <w:rFonts w:ascii="Arial" w:hAnsi="Arial" w:cs="Arial"/>
          <w:sz w:val="24"/>
          <w:szCs w:val="24"/>
        </w:rPr>
        <w:t>. Available at: http://www.guildhe.ac.uk/wp-content/uploads/2015/11/6472-Guild-HE-Student-Engagement-Report-36pp.pdf (Accessed: 14 December 2015).</w:t>
      </w:r>
    </w:p>
    <w:p w:rsidR="001D352A" w:rsidRDefault="001D352A" w:rsidP="001D352A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Wright, S. (2016) ‘The </w:t>
      </w:r>
      <w:proofErr w:type="spellStart"/>
      <w:r>
        <w:rPr>
          <w:rFonts w:ascii="Arial" w:hAnsi="Arial" w:cs="Arial"/>
          <w:sz w:val="24"/>
          <w:szCs w:val="24"/>
        </w:rPr>
        <w:t>Imaginators</w:t>
      </w:r>
      <w:proofErr w:type="spellEnd"/>
      <w:r>
        <w:rPr>
          <w:rFonts w:ascii="Arial" w:hAnsi="Arial" w:cs="Arial"/>
          <w:sz w:val="24"/>
          <w:szCs w:val="24"/>
        </w:rPr>
        <w:t xml:space="preserve"> of English university reform’, </w:t>
      </w:r>
      <w:r>
        <w:rPr>
          <w:rFonts w:ascii="Arial" w:hAnsi="Arial" w:cs="Arial"/>
          <w:iCs/>
          <w:sz w:val="24"/>
          <w:szCs w:val="24"/>
        </w:rPr>
        <w:t>Higher Education, Stratification, and Workforce Development</w:t>
      </w:r>
      <w:proofErr w:type="gramStart"/>
      <w:r>
        <w:rPr>
          <w:rFonts w:ascii="Arial" w:hAnsi="Arial" w:cs="Arial"/>
          <w:sz w:val="24"/>
          <w:szCs w:val="24"/>
        </w:rPr>
        <w:t>,  pp</w:t>
      </w:r>
      <w:proofErr w:type="gramEnd"/>
      <w:r>
        <w:rPr>
          <w:rFonts w:ascii="Arial" w:hAnsi="Arial" w:cs="Arial"/>
          <w:sz w:val="24"/>
          <w:szCs w:val="24"/>
        </w:rPr>
        <w:t xml:space="preserve">. 127–149.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10.1007/978-3-319-21512-9_7.</w:t>
      </w:r>
    </w:p>
    <w:p w:rsidR="001D352A" w:rsidRDefault="001D352A" w:rsidP="0067183E"/>
    <w:sectPr w:rsidR="001D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317"/>
    <w:multiLevelType w:val="hybridMultilevel"/>
    <w:tmpl w:val="FA0A0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F"/>
    <w:rsid w:val="00165227"/>
    <w:rsid w:val="001A5776"/>
    <w:rsid w:val="001D352A"/>
    <w:rsid w:val="005109C1"/>
    <w:rsid w:val="0052390B"/>
    <w:rsid w:val="00590F7C"/>
    <w:rsid w:val="006404DD"/>
    <w:rsid w:val="0067183E"/>
    <w:rsid w:val="00D45EAF"/>
    <w:rsid w:val="00E90063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7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183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0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7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183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0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se-network.com/ho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riticalpublishing.com/co-creating-learning-and-teach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hester.ac.uk/study/postgraduate/courses/ma-student-engagement-in-higher-education/" TargetMode="External"/><Relationship Id="rId11" Type="http://schemas.openxmlformats.org/officeDocument/2006/relationships/hyperlink" Target="https://blog.shu.ac.uk/teachingdelivery/student-engage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lebihan@sh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.advance-he.ac.uk/events/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LeBihan</dc:creator>
  <cp:lastModifiedBy>Julie Smith</cp:lastModifiedBy>
  <cp:revision>2</cp:revision>
  <dcterms:created xsi:type="dcterms:W3CDTF">2020-06-28T10:32:00Z</dcterms:created>
  <dcterms:modified xsi:type="dcterms:W3CDTF">2020-06-28T10:32:00Z</dcterms:modified>
</cp:coreProperties>
</file>