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32EB394C" w14:textId="18C375DA" w:rsidR="008173CA" w:rsidRPr="00832C09" w:rsidRDefault="008173CA" w:rsidP="00D81A56">
      <w:pPr>
        <w:rPr>
          <w:rFonts w:ascii="Arial" w:hAnsi="Arial" w:cs="Arial"/>
        </w:rPr>
      </w:pPr>
    </w:p>
    <w:p w14:paraId="1D8CE19F" w14:textId="40B857CB" w:rsidR="00A32821" w:rsidRPr="00832C09" w:rsidRDefault="00A32821" w:rsidP="00D81A56">
      <w:pPr>
        <w:rPr>
          <w:rFonts w:ascii="Arial" w:hAnsi="Arial" w:cs="Arial"/>
        </w:rPr>
      </w:pPr>
    </w:p>
    <w:p w14:paraId="7B0CE813" w14:textId="08FC0B7F" w:rsidR="00A32821" w:rsidRPr="00832C09" w:rsidRDefault="00B97FBE" w:rsidP="00D81A56">
      <w:pPr>
        <w:rPr>
          <w:rFonts w:ascii="Arial" w:hAnsi="Arial" w:cs="Arial"/>
        </w:rPr>
      </w:pPr>
      <w:r>
        <w:rPr>
          <w:noProof/>
          <w:lang w:eastAsia="en-GB"/>
        </w:rPr>
        <w:drawing>
          <wp:anchor distT="0" distB="0" distL="114300" distR="114300" simplePos="0" relativeHeight="251659264" behindDoc="0" locked="0" layoutInCell="1" allowOverlap="1" wp14:anchorId="4851C04F" wp14:editId="034B60E2">
            <wp:simplePos x="0" y="0"/>
            <wp:positionH relativeFrom="column">
              <wp:posOffset>128905</wp:posOffset>
            </wp:positionH>
            <wp:positionV relativeFrom="paragraph">
              <wp:posOffset>-640715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460DD64E" w14:textId="74F98253" w:rsidR="00A32821" w:rsidRPr="00157490" w:rsidRDefault="00157490" w:rsidP="00157490">
      <w:pPr>
        <w:pStyle w:val="Heading1"/>
        <w:rPr>
          <w:color w:val="17365D" w:themeColor="text2" w:themeShade="BF"/>
          <w:lang w:eastAsia="en-US"/>
        </w:rPr>
      </w:pPr>
      <w:r w:rsidRPr="00157490">
        <w:rPr>
          <w:color w:val="17365D" w:themeColor="text2" w:themeShade="BF"/>
          <w:lang w:eastAsia="en-US"/>
        </w:rPr>
        <w:t>Policy For Academic Advising</w:t>
      </w:r>
    </w:p>
    <w:p w14:paraId="1BE349AD" w14:textId="4EDC0715" w:rsidR="00A32821" w:rsidRPr="00832C09" w:rsidRDefault="00A32821" w:rsidP="00A32821">
      <w:pPr>
        <w:autoSpaceDE w:val="0"/>
        <w:autoSpaceDN w:val="0"/>
        <w:adjustRightInd w:val="0"/>
        <w:spacing w:after="0"/>
        <w:rPr>
          <w:rFonts w:ascii="Arial" w:eastAsia="Calibri" w:hAnsi="Arial" w:cs="Arial"/>
          <w:color w:val="000000"/>
          <w:sz w:val="28"/>
          <w:szCs w:val="28"/>
          <w:lang w:eastAsia="en-US"/>
        </w:rPr>
      </w:pPr>
    </w:p>
    <w:p w14:paraId="7979DC53" w14:textId="0A8B691A" w:rsidR="00FC779D" w:rsidRDefault="00A32821" w:rsidP="00A32821">
      <w:pPr>
        <w:autoSpaceDE w:val="0"/>
        <w:autoSpaceDN w:val="0"/>
        <w:adjustRightInd w:val="0"/>
        <w:spacing w:after="0"/>
        <w:rPr>
          <w:rFonts w:ascii="Arial" w:eastAsia="Calibri" w:hAnsi="Arial" w:cs="Arial"/>
          <w:lang w:eastAsia="en-US"/>
        </w:rPr>
      </w:pPr>
      <w:r w:rsidRPr="00832C09">
        <w:rPr>
          <w:rFonts w:ascii="Arial" w:eastAsia="Calibri" w:hAnsi="Arial" w:cs="Arial"/>
          <w:lang w:eastAsia="en-US"/>
        </w:rPr>
        <w:t>This policy applies to all taught courses offered by the University,</w:t>
      </w:r>
      <w:r w:rsidR="00FC779D" w:rsidRPr="00832C09">
        <w:rPr>
          <w:rFonts w:ascii="Arial" w:eastAsia="MS Mincho" w:hAnsi="Arial" w:cs="Arial"/>
        </w:rPr>
        <w:t xml:space="preserve"> </w:t>
      </w:r>
      <w:r w:rsidR="00063D84">
        <w:rPr>
          <w:rFonts w:ascii="Arial" w:eastAsia="Calibri" w:hAnsi="Arial" w:cs="Arial"/>
          <w:lang w:eastAsia="en-US"/>
        </w:rPr>
        <w:t>including those with Professional, Statutory or Regulatory Body requirements.</w:t>
      </w:r>
    </w:p>
    <w:p w14:paraId="772CCF0B" w14:textId="77777777" w:rsidR="00063D84" w:rsidRDefault="00063D84" w:rsidP="00A32821">
      <w:pPr>
        <w:autoSpaceDE w:val="0"/>
        <w:autoSpaceDN w:val="0"/>
        <w:adjustRightInd w:val="0"/>
        <w:spacing w:after="0"/>
        <w:rPr>
          <w:rFonts w:ascii="Arial" w:eastAsia="Calibri" w:hAnsi="Arial" w:cs="Arial"/>
          <w:lang w:eastAsia="en-US"/>
        </w:rPr>
      </w:pPr>
    </w:p>
    <w:p w14:paraId="763555ED" w14:textId="4A459CAA" w:rsidR="00A32821" w:rsidRDefault="00A32821" w:rsidP="003E7C5A">
      <w:pPr>
        <w:pStyle w:val="Heading2"/>
        <w:rPr>
          <w:color w:val="0070C0"/>
          <w:lang w:eastAsia="en-US"/>
        </w:rPr>
      </w:pPr>
      <w:r w:rsidRPr="003E7C5A">
        <w:rPr>
          <w:color w:val="0070C0"/>
          <w:lang w:eastAsia="en-US"/>
        </w:rPr>
        <w:t>Policy statement:</w:t>
      </w:r>
      <w:r w:rsidR="003E7C5A">
        <w:rPr>
          <w:color w:val="0070C0"/>
          <w:lang w:eastAsia="en-US"/>
        </w:rPr>
        <w:br/>
      </w:r>
    </w:p>
    <w:p w14:paraId="772E5796" w14:textId="26794EB3" w:rsidR="00A32821" w:rsidRPr="00832C09" w:rsidRDefault="00A32821" w:rsidP="00A32821">
      <w:pPr>
        <w:numPr>
          <w:ilvl w:val="0"/>
          <w:numId w:val="10"/>
        </w:numPr>
        <w:spacing w:after="160" w:line="276" w:lineRule="auto"/>
        <w:ind w:left="357" w:hanging="357"/>
        <w:contextualSpacing/>
        <w:rPr>
          <w:rFonts w:ascii="Arial" w:eastAsia="Times New Roman" w:hAnsi="Arial" w:cs="Arial"/>
          <w:lang w:eastAsia="en-US"/>
        </w:rPr>
      </w:pPr>
      <w:r w:rsidRPr="00832C09">
        <w:rPr>
          <w:rFonts w:ascii="Arial" w:eastAsia="Times New Roman" w:hAnsi="Arial" w:cs="Arial"/>
          <w:color w:val="000000"/>
          <w:lang w:eastAsia="en-GB"/>
        </w:rPr>
        <w:t>Academic</w:t>
      </w:r>
      <w:r w:rsidRPr="00832C09">
        <w:rPr>
          <w:rFonts w:ascii="Arial" w:eastAsia="Times New Roman" w:hAnsi="Arial" w:cs="Arial"/>
          <w:lang w:eastAsia="en-US"/>
        </w:rPr>
        <w:t xml:space="preserve"> Advising must be implemented with reference to the </w:t>
      </w:r>
      <w:hyperlink r:id="rId10" w:history="1">
        <w:r w:rsidRPr="006E0CF6">
          <w:rPr>
            <w:rStyle w:val="Hyperlink"/>
            <w:rFonts w:ascii="Arial" w:eastAsia="Times New Roman" w:hAnsi="Arial" w:cs="Arial"/>
            <w:lang w:eastAsia="en-US"/>
          </w:rPr>
          <w:t>Academic Advising Framework</w:t>
        </w:r>
      </w:hyperlink>
      <w:r w:rsidRPr="00832C09">
        <w:rPr>
          <w:rFonts w:ascii="Arial" w:eastAsia="Times New Roman" w:hAnsi="Arial" w:cs="Arial"/>
          <w:lang w:eastAsia="en-US"/>
        </w:rPr>
        <w:t>, to ensure the minimum requirements as set out below are consistently delivered.</w:t>
      </w:r>
    </w:p>
    <w:p w14:paraId="47E30450" w14:textId="77777777" w:rsidR="00A32821" w:rsidRPr="00832C09" w:rsidRDefault="00A32821" w:rsidP="00A32821">
      <w:pPr>
        <w:spacing w:after="160"/>
        <w:ind w:left="357"/>
        <w:contextualSpacing/>
        <w:rPr>
          <w:rFonts w:ascii="Arial" w:eastAsia="Times New Roman" w:hAnsi="Arial" w:cs="Arial"/>
          <w:lang w:eastAsia="en-US"/>
        </w:rPr>
      </w:pPr>
    </w:p>
    <w:p w14:paraId="6B293D6A" w14:textId="04B4C518" w:rsidR="00A32821" w:rsidRPr="00832C09" w:rsidRDefault="00A32821" w:rsidP="00A32821">
      <w:pPr>
        <w:numPr>
          <w:ilvl w:val="0"/>
          <w:numId w:val="10"/>
        </w:numPr>
        <w:spacing w:after="160" w:line="276" w:lineRule="auto"/>
        <w:ind w:left="357" w:hanging="357"/>
        <w:contextualSpacing/>
        <w:rPr>
          <w:rFonts w:ascii="Arial" w:eastAsia="Times New Roman" w:hAnsi="Arial" w:cs="Arial"/>
          <w:lang w:eastAsia="en-US"/>
        </w:rPr>
      </w:pPr>
      <w:r w:rsidRPr="00832C09">
        <w:rPr>
          <w:rFonts w:ascii="Arial" w:eastAsia="Times New Roman" w:hAnsi="Arial" w:cs="Arial"/>
          <w:color w:val="000000"/>
          <w:lang w:eastAsia="en-GB"/>
        </w:rPr>
        <w:t>Academic Advisers must complete the online B</w:t>
      </w:r>
      <w:r w:rsidR="000C1998" w:rsidRPr="00832C09">
        <w:rPr>
          <w:rFonts w:ascii="Arial" w:eastAsia="Times New Roman" w:hAnsi="Arial" w:cs="Arial"/>
          <w:color w:val="000000"/>
          <w:lang w:eastAsia="en-GB"/>
        </w:rPr>
        <w:t>lack</w:t>
      </w:r>
      <w:r w:rsidRPr="00832C09">
        <w:rPr>
          <w:rFonts w:ascii="Arial" w:eastAsia="Times New Roman" w:hAnsi="Arial" w:cs="Arial"/>
          <w:color w:val="000000"/>
          <w:lang w:eastAsia="en-GB"/>
        </w:rPr>
        <w:t>B</w:t>
      </w:r>
      <w:r w:rsidR="000C1998" w:rsidRPr="00832C09">
        <w:rPr>
          <w:rFonts w:ascii="Arial" w:eastAsia="Times New Roman" w:hAnsi="Arial" w:cs="Arial"/>
          <w:color w:val="000000"/>
          <w:lang w:eastAsia="en-GB"/>
        </w:rPr>
        <w:t>oard</w:t>
      </w:r>
      <w:r w:rsidRPr="00832C09">
        <w:rPr>
          <w:rFonts w:ascii="Arial" w:eastAsia="Times New Roman" w:hAnsi="Arial" w:cs="Arial"/>
          <w:color w:val="000000"/>
          <w:lang w:eastAsia="en-GB"/>
        </w:rPr>
        <w:t xml:space="preserve"> course, 'Being an Academic Adviser' before undertaking Academic Advising duties.</w:t>
      </w:r>
    </w:p>
    <w:p w14:paraId="2825E8DF" w14:textId="77777777" w:rsidR="00A32821" w:rsidRPr="00832C09" w:rsidRDefault="00A32821" w:rsidP="00A32821">
      <w:pPr>
        <w:spacing w:after="160"/>
        <w:ind w:left="357"/>
        <w:contextualSpacing/>
        <w:rPr>
          <w:rFonts w:ascii="Arial" w:eastAsia="Times New Roman" w:hAnsi="Arial" w:cs="Arial"/>
          <w:lang w:eastAsia="en-US"/>
        </w:rPr>
      </w:pPr>
    </w:p>
    <w:p w14:paraId="665E3E94" w14:textId="77777777" w:rsidR="00924448" w:rsidRDefault="00924448" w:rsidP="00924448">
      <w:pPr>
        <w:numPr>
          <w:ilvl w:val="0"/>
          <w:numId w:val="10"/>
        </w:numPr>
        <w:spacing w:after="160" w:line="276" w:lineRule="auto"/>
        <w:ind w:left="357" w:hanging="357"/>
        <w:contextualSpacing/>
        <w:rPr>
          <w:rFonts w:ascii="Arial" w:eastAsia="Times New Roman" w:hAnsi="Arial" w:cs="Arial"/>
          <w:color w:val="000000"/>
          <w:lang w:eastAsia="en-GB"/>
        </w:rPr>
      </w:pPr>
      <w:r w:rsidRPr="00924448">
        <w:rPr>
          <w:rFonts w:ascii="Arial" w:eastAsia="Times New Roman" w:hAnsi="Arial" w:cs="Arial"/>
          <w:color w:val="000000"/>
          <w:lang w:eastAsia="en-GB"/>
        </w:rPr>
        <w:t xml:space="preserve">For the duration of their study, all students on taught courses will be allocated a named Academic Adviser who will act as a personal academic contact, initiating and maintaining contact with their students to support their studies. </w:t>
      </w:r>
    </w:p>
    <w:p w14:paraId="144B862F" w14:textId="77777777" w:rsidR="00A32821" w:rsidRPr="00832C09" w:rsidRDefault="00A32821" w:rsidP="00924448">
      <w:pPr>
        <w:spacing w:after="160" w:line="276" w:lineRule="auto"/>
        <w:ind w:left="357"/>
        <w:contextualSpacing/>
        <w:rPr>
          <w:rFonts w:ascii="Arial" w:eastAsia="Times New Roman" w:hAnsi="Arial" w:cs="Arial"/>
          <w:color w:val="000000"/>
          <w:lang w:eastAsia="en-GB"/>
        </w:rPr>
      </w:pPr>
    </w:p>
    <w:p w14:paraId="30677B9D" w14:textId="2E28AE28" w:rsidR="00A32821" w:rsidRPr="00832C09" w:rsidRDefault="00A32821" w:rsidP="00A32821">
      <w:pPr>
        <w:numPr>
          <w:ilvl w:val="0"/>
          <w:numId w:val="10"/>
        </w:numPr>
        <w:spacing w:after="160" w:line="276" w:lineRule="auto"/>
        <w:ind w:left="357" w:hanging="357"/>
        <w:contextualSpacing/>
        <w:rPr>
          <w:rFonts w:ascii="Arial" w:eastAsia="Times New Roman" w:hAnsi="Arial" w:cs="Arial"/>
          <w:color w:val="000000"/>
          <w:lang w:eastAsia="en-GB"/>
        </w:rPr>
      </w:pPr>
      <w:r w:rsidRPr="00832C09">
        <w:rPr>
          <w:rFonts w:ascii="Arial" w:eastAsia="Times New Roman" w:hAnsi="Arial" w:cs="Arial"/>
          <w:color w:val="000000"/>
          <w:lang w:eastAsia="en-GB"/>
        </w:rPr>
        <w:t>Academic Advis</w:t>
      </w:r>
      <w:r w:rsidR="00414001">
        <w:rPr>
          <w:rFonts w:ascii="Arial" w:eastAsia="Times New Roman" w:hAnsi="Arial" w:cs="Arial"/>
          <w:color w:val="000000"/>
          <w:lang w:eastAsia="en-GB"/>
        </w:rPr>
        <w:t>ers</w:t>
      </w:r>
      <w:r w:rsidRPr="00832C09">
        <w:rPr>
          <w:rFonts w:ascii="Arial" w:eastAsia="Times New Roman" w:hAnsi="Arial" w:cs="Arial"/>
          <w:color w:val="000000"/>
          <w:lang w:eastAsia="en-GB"/>
        </w:rPr>
        <w:t xml:space="preserve"> will focus on a student's Academic Progression, Personal Development and Professional Development, and will have a clear developmental agenda to support student reflection and academic progression. </w:t>
      </w:r>
    </w:p>
    <w:p w14:paraId="0CFDF4E7" w14:textId="77777777" w:rsidR="00A32821" w:rsidRPr="00832C09" w:rsidRDefault="00A32821" w:rsidP="00A32821">
      <w:pPr>
        <w:spacing w:after="160"/>
        <w:ind w:left="357"/>
        <w:contextualSpacing/>
        <w:rPr>
          <w:rFonts w:ascii="Arial" w:eastAsia="Times New Roman" w:hAnsi="Arial" w:cs="Arial"/>
          <w:color w:val="000000"/>
          <w:lang w:eastAsia="en-GB"/>
        </w:rPr>
      </w:pPr>
    </w:p>
    <w:p w14:paraId="05A9049C" w14:textId="1301ADA7" w:rsidR="00A32821" w:rsidRPr="00832C09" w:rsidRDefault="00A32821" w:rsidP="00A32821">
      <w:pPr>
        <w:numPr>
          <w:ilvl w:val="0"/>
          <w:numId w:val="10"/>
        </w:numPr>
        <w:spacing w:after="160" w:line="276" w:lineRule="auto"/>
        <w:ind w:left="357" w:hanging="357"/>
        <w:contextualSpacing/>
        <w:rPr>
          <w:rFonts w:ascii="Arial" w:eastAsia="Times New Roman" w:hAnsi="Arial" w:cs="Arial"/>
          <w:color w:val="000000"/>
          <w:lang w:eastAsia="en-GB"/>
        </w:rPr>
      </w:pPr>
      <w:r w:rsidRPr="00832C09">
        <w:rPr>
          <w:rFonts w:ascii="Arial" w:eastAsia="Times New Roman" w:hAnsi="Arial" w:cs="Arial"/>
          <w:lang w:eastAsia="en-US"/>
        </w:rPr>
        <w:t xml:space="preserve">Academic Advisers will communicate their availability and contact details to students clearly at the start of the academic year. They will ensure that students are aware of the </w:t>
      </w:r>
      <w:r w:rsidRPr="00832C09">
        <w:rPr>
          <w:rFonts w:ascii="Arial" w:eastAsia="Calibri" w:hAnsi="Arial" w:cs="Arial"/>
          <w:lang w:eastAsia="en-US"/>
        </w:rPr>
        <w:t xml:space="preserve">purpose of academic advising activities and </w:t>
      </w:r>
      <w:r w:rsidR="000C1998" w:rsidRPr="00832C09">
        <w:rPr>
          <w:rFonts w:ascii="Arial" w:eastAsia="Calibri" w:hAnsi="Arial" w:cs="Arial"/>
          <w:lang w:eastAsia="en-US"/>
        </w:rPr>
        <w:t xml:space="preserve">of </w:t>
      </w:r>
      <w:r w:rsidRPr="00832C09">
        <w:rPr>
          <w:rFonts w:ascii="Arial" w:eastAsia="Calibri" w:hAnsi="Arial" w:cs="Arial"/>
          <w:lang w:eastAsia="en-US"/>
        </w:rPr>
        <w:t>any preparation they need to complete before attending them.</w:t>
      </w:r>
    </w:p>
    <w:p w14:paraId="40227B1C" w14:textId="77777777" w:rsidR="00A32821" w:rsidRPr="00832C09" w:rsidRDefault="00A32821" w:rsidP="00A32821">
      <w:pPr>
        <w:spacing w:after="160"/>
        <w:ind w:left="357"/>
        <w:contextualSpacing/>
        <w:rPr>
          <w:rFonts w:ascii="Arial" w:eastAsia="Times New Roman" w:hAnsi="Arial" w:cs="Arial"/>
          <w:color w:val="000000"/>
          <w:lang w:eastAsia="en-GB"/>
        </w:rPr>
      </w:pPr>
    </w:p>
    <w:p w14:paraId="0DF387BD" w14:textId="0E6CB0E1" w:rsidR="00A32821" w:rsidRPr="00832C09" w:rsidRDefault="00A32821" w:rsidP="00A32821">
      <w:pPr>
        <w:numPr>
          <w:ilvl w:val="0"/>
          <w:numId w:val="10"/>
        </w:numPr>
        <w:spacing w:after="160" w:line="276" w:lineRule="auto"/>
        <w:ind w:left="357" w:hanging="357"/>
        <w:contextualSpacing/>
        <w:rPr>
          <w:rFonts w:ascii="Arial" w:eastAsia="Times New Roman" w:hAnsi="Arial" w:cs="Arial"/>
          <w:color w:val="000000"/>
          <w:lang w:eastAsia="en-GB"/>
        </w:rPr>
      </w:pPr>
      <w:r w:rsidRPr="00832C09">
        <w:rPr>
          <w:rFonts w:ascii="Arial" w:eastAsia="Times New Roman" w:hAnsi="Arial" w:cs="Arial"/>
          <w:color w:val="000000"/>
          <w:lang w:eastAsia="en-GB"/>
        </w:rPr>
        <w:t xml:space="preserve">Academic Advisers will </w:t>
      </w:r>
      <w:r w:rsidRPr="00832C09">
        <w:rPr>
          <w:rFonts w:ascii="Arial" w:eastAsia="Calibri" w:hAnsi="Arial" w:cs="Arial"/>
          <w:lang w:eastAsia="en-US"/>
        </w:rPr>
        <w:t>contact their students a minimum of 3 times in each year of study: in the first 3 weeks of the academic year to support induction and transition, and once in each semester to review academic progress and offer advice to support their students' success.</w:t>
      </w:r>
    </w:p>
    <w:p w14:paraId="07BA5D85" w14:textId="423F5737" w:rsidR="00A32821" w:rsidRPr="00832C09" w:rsidRDefault="00A32821" w:rsidP="00A32821">
      <w:pPr>
        <w:spacing w:after="160"/>
        <w:ind w:left="357"/>
        <w:contextualSpacing/>
        <w:rPr>
          <w:rFonts w:ascii="Arial" w:eastAsia="Times New Roman" w:hAnsi="Arial" w:cs="Arial"/>
          <w:color w:val="000000"/>
          <w:lang w:eastAsia="en-GB"/>
        </w:rPr>
      </w:pPr>
    </w:p>
    <w:p w14:paraId="59749914" w14:textId="058CD2EB" w:rsidR="00A32821" w:rsidRPr="00832C09" w:rsidRDefault="00A32821" w:rsidP="00A32821">
      <w:pPr>
        <w:numPr>
          <w:ilvl w:val="0"/>
          <w:numId w:val="10"/>
        </w:numPr>
        <w:spacing w:after="160" w:line="276" w:lineRule="auto"/>
        <w:ind w:left="357" w:hanging="357"/>
        <w:contextualSpacing/>
        <w:rPr>
          <w:rFonts w:ascii="Arial" w:eastAsia="Times New Roman" w:hAnsi="Arial" w:cs="Arial"/>
          <w:color w:val="000000"/>
          <w:lang w:eastAsia="en-GB"/>
        </w:rPr>
      </w:pPr>
      <w:r w:rsidRPr="00832C09">
        <w:rPr>
          <w:rFonts w:ascii="Arial" w:eastAsia="Times New Roman" w:hAnsi="Arial" w:cs="Arial"/>
          <w:color w:val="000000"/>
          <w:lang w:eastAsia="en-GB"/>
        </w:rPr>
        <w:t>Academic Advisers will maintain records of meetings and any agreed follow-up actions</w:t>
      </w:r>
    </w:p>
    <w:p w14:paraId="692189E7" w14:textId="77777777" w:rsidR="00A32821" w:rsidRPr="00832C09" w:rsidRDefault="00A32821" w:rsidP="00A32821">
      <w:pPr>
        <w:spacing w:after="160"/>
        <w:ind w:left="357"/>
        <w:contextualSpacing/>
        <w:rPr>
          <w:rFonts w:ascii="Arial" w:eastAsia="Times New Roman" w:hAnsi="Arial" w:cs="Arial"/>
          <w:color w:val="000000"/>
          <w:lang w:eastAsia="en-GB"/>
        </w:rPr>
      </w:pPr>
    </w:p>
    <w:p w14:paraId="46B44380" w14:textId="5624FBC7" w:rsidR="00A32821" w:rsidRPr="00832C09" w:rsidRDefault="00A32821" w:rsidP="00A32821">
      <w:pPr>
        <w:numPr>
          <w:ilvl w:val="0"/>
          <w:numId w:val="10"/>
        </w:numPr>
        <w:spacing w:after="160" w:line="276" w:lineRule="auto"/>
        <w:ind w:left="357" w:hanging="357"/>
        <w:contextualSpacing/>
        <w:rPr>
          <w:rFonts w:ascii="Arial" w:eastAsia="Times New Roman" w:hAnsi="Arial" w:cs="Arial"/>
          <w:lang w:eastAsia="en-US"/>
        </w:rPr>
      </w:pPr>
      <w:r w:rsidRPr="00832C09">
        <w:rPr>
          <w:rFonts w:ascii="Arial" w:eastAsia="Times New Roman" w:hAnsi="Arial" w:cs="Arial"/>
          <w:color w:val="000000"/>
          <w:lang w:eastAsia="en-GB"/>
        </w:rPr>
        <w:t>Acade</w:t>
      </w:r>
      <w:r w:rsidRPr="00832C09">
        <w:rPr>
          <w:rFonts w:ascii="Arial" w:eastAsia="Times New Roman" w:hAnsi="Arial" w:cs="Arial"/>
          <w:lang w:eastAsia="en-US"/>
        </w:rPr>
        <w:t>mic Advis</w:t>
      </w:r>
      <w:r w:rsidR="00414001">
        <w:rPr>
          <w:rFonts w:ascii="Arial" w:eastAsia="Times New Roman" w:hAnsi="Arial" w:cs="Arial"/>
          <w:lang w:eastAsia="en-US"/>
        </w:rPr>
        <w:t>e</w:t>
      </w:r>
      <w:r w:rsidRPr="00832C09">
        <w:rPr>
          <w:rFonts w:ascii="Arial" w:eastAsia="Times New Roman" w:hAnsi="Arial" w:cs="Arial"/>
          <w:lang w:eastAsia="en-US"/>
        </w:rPr>
        <w:t>rs will provide a written reference for their students.</w:t>
      </w:r>
    </w:p>
    <w:p w14:paraId="214BD3A7" w14:textId="205BDB77" w:rsidR="00A95F07" w:rsidRDefault="00A95F07" w:rsidP="001F31F7">
      <w:pPr>
        <w:spacing w:after="160"/>
        <w:contextualSpacing/>
        <w:rPr>
          <w:rFonts w:ascii="Arial" w:eastAsia="Times New Roman" w:hAnsi="Arial" w:cs="Arial"/>
          <w:lang w:eastAsia="en-US"/>
        </w:rPr>
      </w:pPr>
    </w:p>
    <w:p w14:paraId="4DBA3C3A" w14:textId="40666B91" w:rsidR="00A32821" w:rsidRPr="00832C09" w:rsidRDefault="003E7C5A" w:rsidP="003E7C5A">
      <w:pPr>
        <w:pStyle w:val="Heading2"/>
        <w:rPr>
          <w:lang w:eastAsia="en-US"/>
        </w:rPr>
      </w:pPr>
      <w:bookmarkStart w:id="0" w:name="_GoBack"/>
      <w:bookmarkEnd w:id="0"/>
      <w:r>
        <w:rPr>
          <w:lang w:eastAsia="en-US"/>
        </w:rPr>
        <w:t>Rationale</w:t>
      </w:r>
    </w:p>
    <w:p w14:paraId="1D9D8DAD" w14:textId="559BC0CA" w:rsidR="003A61CD" w:rsidRDefault="00A32821" w:rsidP="003E7C5A">
      <w:pPr>
        <w:autoSpaceDE w:val="0"/>
        <w:autoSpaceDN w:val="0"/>
        <w:adjustRightInd w:val="0"/>
        <w:spacing w:after="0"/>
        <w:rPr>
          <w:rFonts w:ascii="Arial" w:eastAsia="Calibri" w:hAnsi="Arial" w:cs="Arial"/>
          <w:color w:val="000000" w:themeColor="text1"/>
          <w:lang w:eastAsia="en-US"/>
        </w:rPr>
      </w:pPr>
      <w:r w:rsidRPr="00626A21">
        <w:rPr>
          <w:rFonts w:ascii="Arial" w:eastAsia="Calibri" w:hAnsi="Arial" w:cs="Arial"/>
          <w:color w:val="000000" w:themeColor="text1"/>
          <w:lang w:eastAsia="en-US"/>
        </w:rPr>
        <w:t>Academic Advisers are central to supporting students in their academic journey.  They provide a consistent personal point of contact and ongoing support to students as they progress through their course, transitioning from induction, into and between levels of study, to and from placements and into employment or further study. Academic Advisers provide pastoral support at the point of contact whilst supporting a student's academic progress and success. Where appropriate, Academic Advisers will refer the student to specialist support services via helpdesk services or to their other named advisers (Student Support Adviser and Employability Adviser).</w:t>
      </w:r>
      <w:r w:rsidR="003E7C5A">
        <w:rPr>
          <w:rFonts w:ascii="Arial" w:eastAsia="Calibri" w:hAnsi="Arial" w:cs="Arial"/>
          <w:color w:val="000000" w:themeColor="text1"/>
          <w:lang w:eastAsia="en-US"/>
        </w:rPr>
        <w:t xml:space="preserve"> </w:t>
      </w:r>
    </w:p>
    <w:p w14:paraId="533FF1CE" w14:textId="77777777" w:rsidR="003E7C5A" w:rsidRDefault="003E7C5A" w:rsidP="003E7C5A">
      <w:pPr>
        <w:autoSpaceDE w:val="0"/>
        <w:autoSpaceDN w:val="0"/>
        <w:adjustRightInd w:val="0"/>
        <w:spacing w:after="0"/>
        <w:rPr>
          <w:rFonts w:ascii="Arial" w:eastAsia="Times New Roman" w:hAnsi="Arial" w:cs="Arial"/>
          <w:b/>
          <w:lang w:eastAsia="en-US"/>
        </w:rPr>
      </w:pPr>
    </w:p>
    <w:p w14:paraId="2C876CB1" w14:textId="57857A83" w:rsidR="00156A11" w:rsidRPr="00832C09" w:rsidRDefault="003E7C5A" w:rsidP="003E7C5A">
      <w:pPr>
        <w:pStyle w:val="Heading2"/>
        <w:rPr>
          <w:lang w:eastAsia="en-US"/>
        </w:rPr>
      </w:pPr>
      <w:r>
        <w:rPr>
          <w:lang w:eastAsia="en-US"/>
        </w:rPr>
        <w:t>Implementation</w:t>
      </w:r>
    </w:p>
    <w:p w14:paraId="22F2514A" w14:textId="170B2F17" w:rsidR="00A95F07" w:rsidRDefault="00FC779D" w:rsidP="00A95F07">
      <w:pPr>
        <w:spacing w:after="160" w:line="252" w:lineRule="auto"/>
        <w:contextualSpacing/>
        <w:rPr>
          <w:rFonts w:ascii="Arial" w:eastAsia="Calibri" w:hAnsi="Arial" w:cs="Arial"/>
          <w:lang w:eastAsia="en-US"/>
        </w:rPr>
      </w:pPr>
      <w:r w:rsidRPr="00832C09">
        <w:rPr>
          <w:rFonts w:ascii="Arial" w:eastAsia="Calibri" w:hAnsi="Arial" w:cs="Arial"/>
          <w:lang w:eastAsia="en-US"/>
        </w:rPr>
        <w:t>This policy when implemented will ensure a consistent approach to academic advising and a common understanding of the expectations associated with its provision.</w:t>
      </w:r>
      <w:r w:rsidR="00A95F07">
        <w:rPr>
          <w:rFonts w:ascii="Arial" w:eastAsia="Calibri" w:hAnsi="Arial" w:cs="Arial"/>
          <w:lang w:eastAsia="en-US"/>
        </w:rPr>
        <w:t xml:space="preserve">  Where appropriate, </w:t>
      </w:r>
      <w:r w:rsidR="00A95F07" w:rsidRPr="00832C09">
        <w:rPr>
          <w:rFonts w:ascii="Arial" w:eastAsia="MS Mincho" w:hAnsi="Arial" w:cs="Arial"/>
        </w:rPr>
        <w:t>collab</w:t>
      </w:r>
      <w:r w:rsidR="00A95F07">
        <w:rPr>
          <w:rFonts w:ascii="Arial" w:eastAsia="MS Mincho" w:hAnsi="Arial" w:cs="Arial"/>
        </w:rPr>
        <w:t>orative partner organisations may operate alternative</w:t>
      </w:r>
      <w:r w:rsidR="00C90E53">
        <w:rPr>
          <w:rFonts w:ascii="Arial" w:eastAsia="MS Mincho" w:hAnsi="Arial" w:cs="Arial"/>
        </w:rPr>
        <w:t xml:space="preserve"> equitable</w:t>
      </w:r>
      <w:r w:rsidR="00A95F07">
        <w:rPr>
          <w:rFonts w:ascii="Arial" w:eastAsia="MS Mincho" w:hAnsi="Arial" w:cs="Arial"/>
        </w:rPr>
        <w:t xml:space="preserve"> arrangements.</w:t>
      </w:r>
    </w:p>
    <w:p w14:paraId="447A4D3F" w14:textId="77777777" w:rsidR="00A95F07" w:rsidRPr="00832C09" w:rsidRDefault="00A95F07" w:rsidP="00A32821">
      <w:pPr>
        <w:spacing w:after="160" w:line="252" w:lineRule="auto"/>
        <w:contextualSpacing/>
        <w:rPr>
          <w:rFonts w:ascii="Arial" w:eastAsia="Times New Roman" w:hAnsi="Arial" w:cs="Arial"/>
          <w:b/>
          <w:lang w:eastAsia="en-US"/>
        </w:rPr>
      </w:pPr>
    </w:p>
    <w:p w14:paraId="472F8E78" w14:textId="77777777" w:rsidR="00FC779D" w:rsidRPr="00832C09" w:rsidRDefault="00FC779D" w:rsidP="00A32821">
      <w:pPr>
        <w:spacing w:after="160" w:line="252" w:lineRule="auto"/>
        <w:contextualSpacing/>
        <w:rPr>
          <w:rFonts w:ascii="Arial" w:eastAsia="Times New Roman" w:hAnsi="Arial" w:cs="Arial"/>
          <w:b/>
          <w:lang w:eastAsia="en-US"/>
        </w:rPr>
      </w:pPr>
    </w:p>
    <w:p w14:paraId="1FC70341" w14:textId="11BA1EBF" w:rsidR="00A32821" w:rsidRPr="00832C09" w:rsidRDefault="003E7C5A" w:rsidP="003E7C5A">
      <w:pPr>
        <w:pStyle w:val="Heading2"/>
        <w:rPr>
          <w:lang w:eastAsia="en-US"/>
        </w:rPr>
      </w:pPr>
      <w:r>
        <w:rPr>
          <w:lang w:eastAsia="en-US"/>
        </w:rPr>
        <w:t>Governance and monitoring</w:t>
      </w:r>
    </w:p>
    <w:p w14:paraId="30D48924" w14:textId="403D4A0D" w:rsidR="00A32821" w:rsidRPr="00832C09" w:rsidRDefault="00A32821" w:rsidP="00A32821">
      <w:pPr>
        <w:widowControl w:val="0"/>
        <w:autoSpaceDE w:val="0"/>
        <w:autoSpaceDN w:val="0"/>
        <w:spacing w:after="0" w:line="276" w:lineRule="auto"/>
        <w:ind w:right="118"/>
        <w:rPr>
          <w:rFonts w:ascii="Arial" w:eastAsia="Arial" w:hAnsi="Arial" w:cs="Arial"/>
          <w:lang w:val="en-US" w:eastAsia="en-US"/>
        </w:rPr>
      </w:pPr>
      <w:r w:rsidRPr="00832C09">
        <w:rPr>
          <w:rFonts w:ascii="Arial" w:eastAsia="Arial" w:hAnsi="Arial" w:cs="Arial"/>
          <w:lang w:val="en-US" w:eastAsia="en-US"/>
        </w:rPr>
        <w:t xml:space="preserve">This policy relates to the Academic Advising Framework (April 2018), and will be implemented from the start of academic year 2019/20.  This policy is </w:t>
      </w:r>
      <w:r w:rsidR="00D1290C" w:rsidRPr="00832C09">
        <w:rPr>
          <w:rFonts w:ascii="Arial" w:eastAsia="Arial" w:hAnsi="Arial" w:cs="Arial"/>
          <w:lang w:val="en-US" w:eastAsia="en-US"/>
        </w:rPr>
        <w:t>governed</w:t>
      </w:r>
      <w:r w:rsidRPr="00832C09">
        <w:rPr>
          <w:rFonts w:ascii="Arial" w:eastAsia="Arial" w:hAnsi="Arial" w:cs="Arial"/>
          <w:lang w:val="en-US" w:eastAsia="en-US"/>
        </w:rPr>
        <w:t xml:space="preserve"> </w:t>
      </w:r>
      <w:r w:rsidR="00832C09" w:rsidRPr="00832C09">
        <w:rPr>
          <w:rFonts w:ascii="Arial" w:eastAsia="Arial" w:hAnsi="Arial" w:cs="Arial"/>
          <w:lang w:val="en-US" w:eastAsia="en-US"/>
        </w:rPr>
        <w:t xml:space="preserve">and monitored </w:t>
      </w:r>
      <w:r w:rsidRPr="00832C09">
        <w:rPr>
          <w:rFonts w:ascii="Arial" w:eastAsia="Arial" w:hAnsi="Arial" w:cs="Arial"/>
          <w:lang w:val="en-US" w:eastAsia="en-US"/>
        </w:rPr>
        <w:t>by the University Teaching Quality Committee which report</w:t>
      </w:r>
      <w:r w:rsidR="00832C09" w:rsidRPr="00832C09">
        <w:rPr>
          <w:rFonts w:ascii="Arial" w:eastAsia="Arial" w:hAnsi="Arial" w:cs="Arial"/>
          <w:lang w:val="en-US" w:eastAsia="en-US"/>
        </w:rPr>
        <w:t>s to the Shaping Futures Board.</w:t>
      </w:r>
    </w:p>
    <w:p w14:paraId="649DEA37" w14:textId="77777777" w:rsidR="00A32821" w:rsidRPr="00832C09" w:rsidRDefault="00A32821" w:rsidP="00A32821">
      <w:pPr>
        <w:spacing w:line="276" w:lineRule="auto"/>
        <w:rPr>
          <w:rFonts w:ascii="Arial" w:eastAsia="Calibri" w:hAnsi="Arial" w:cs="Arial"/>
          <w:sz w:val="22"/>
          <w:lang w:eastAsia="en-US"/>
        </w:rPr>
      </w:pPr>
    </w:p>
    <w:tbl>
      <w:tblPr>
        <w:tblW w:w="0" w:type="auto"/>
        <w:tblCellMar>
          <w:left w:w="0" w:type="dxa"/>
          <w:right w:w="0" w:type="dxa"/>
        </w:tblCellMar>
        <w:tblLook w:val="04A0" w:firstRow="1" w:lastRow="0" w:firstColumn="1" w:lastColumn="0" w:noHBand="0" w:noVBand="1"/>
      </w:tblPr>
      <w:tblGrid>
        <w:gridCol w:w="2831"/>
        <w:gridCol w:w="4541"/>
        <w:gridCol w:w="1297"/>
        <w:gridCol w:w="2007"/>
      </w:tblGrid>
      <w:tr w:rsidR="00A32821" w:rsidRPr="00832C09" w14:paraId="13C471A5" w14:textId="77777777" w:rsidTr="00500E40">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F2C68" w14:textId="77777777" w:rsidR="00A32821" w:rsidRPr="00832C09" w:rsidRDefault="00A32821" w:rsidP="00A32821">
            <w:pPr>
              <w:spacing w:line="276" w:lineRule="auto"/>
              <w:rPr>
                <w:rFonts w:ascii="Arial" w:eastAsia="Calibri" w:hAnsi="Arial" w:cs="Arial"/>
                <w:b/>
                <w:bCs/>
                <w:sz w:val="22"/>
                <w:szCs w:val="22"/>
                <w:lang w:eastAsia="en-US"/>
              </w:rPr>
            </w:pPr>
            <w:r w:rsidRPr="00832C09">
              <w:rPr>
                <w:rFonts w:ascii="Arial" w:eastAsia="Calibri" w:hAnsi="Arial" w:cs="Arial"/>
                <w:b/>
                <w:bCs/>
                <w:lang w:eastAsia="en-US"/>
              </w:rPr>
              <w:t>Version:</w:t>
            </w:r>
          </w:p>
        </w:tc>
        <w:tc>
          <w:tcPr>
            <w:tcW w:w="833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1C73EE3" w14:textId="1274019E" w:rsidR="00A32821" w:rsidRPr="00832C09" w:rsidRDefault="00626A21" w:rsidP="00A32821">
            <w:pPr>
              <w:spacing w:line="276" w:lineRule="auto"/>
              <w:rPr>
                <w:rFonts w:ascii="Arial" w:eastAsia="Calibri" w:hAnsi="Arial" w:cs="Arial"/>
                <w:sz w:val="22"/>
                <w:szCs w:val="22"/>
                <w:lang w:eastAsia="en-US"/>
              </w:rPr>
            </w:pPr>
            <w:r>
              <w:rPr>
                <w:rFonts w:ascii="Arial" w:eastAsia="Calibri" w:hAnsi="Arial" w:cs="Arial"/>
                <w:sz w:val="22"/>
                <w:szCs w:val="22"/>
                <w:lang w:eastAsia="en-US"/>
              </w:rPr>
              <w:t>v</w:t>
            </w:r>
            <w:r w:rsidR="00D1290C" w:rsidRPr="00832C09">
              <w:rPr>
                <w:rFonts w:ascii="Arial" w:eastAsia="Calibri" w:hAnsi="Arial" w:cs="Arial"/>
                <w:sz w:val="22"/>
                <w:szCs w:val="22"/>
                <w:lang w:eastAsia="en-US"/>
              </w:rPr>
              <w:t>1.0</w:t>
            </w:r>
          </w:p>
        </w:tc>
      </w:tr>
      <w:tr w:rsidR="00A32821" w:rsidRPr="00832C09" w14:paraId="46B9E54A" w14:textId="77777777" w:rsidTr="00500E40">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87EFC" w14:textId="77777777" w:rsidR="00A32821" w:rsidRPr="00832C09" w:rsidRDefault="00A32821" w:rsidP="00A32821">
            <w:pPr>
              <w:spacing w:line="276" w:lineRule="auto"/>
              <w:rPr>
                <w:rFonts w:ascii="Arial" w:eastAsia="Calibri" w:hAnsi="Arial" w:cs="Arial"/>
                <w:b/>
                <w:bCs/>
                <w:sz w:val="22"/>
                <w:szCs w:val="22"/>
                <w:lang w:eastAsia="en-US"/>
              </w:rPr>
            </w:pPr>
            <w:r w:rsidRPr="00832C09">
              <w:rPr>
                <w:rFonts w:ascii="Arial" w:eastAsia="Calibri" w:hAnsi="Arial" w:cs="Arial"/>
                <w:b/>
                <w:bCs/>
                <w:lang w:eastAsia="en-US"/>
              </w:rPr>
              <w:t>Original Version Approved by and date:</w:t>
            </w:r>
          </w:p>
        </w:tc>
        <w:tc>
          <w:tcPr>
            <w:tcW w:w="8331" w:type="dxa"/>
            <w:gridSpan w:val="3"/>
            <w:tcBorders>
              <w:top w:val="nil"/>
              <w:left w:val="nil"/>
              <w:bottom w:val="single" w:sz="8" w:space="0" w:color="auto"/>
              <w:right w:val="single" w:sz="8" w:space="0" w:color="auto"/>
            </w:tcBorders>
            <w:tcMar>
              <w:top w:w="0" w:type="dxa"/>
              <w:left w:w="108" w:type="dxa"/>
              <w:bottom w:w="0" w:type="dxa"/>
              <w:right w:w="108" w:type="dxa"/>
            </w:tcMar>
          </w:tcPr>
          <w:p w14:paraId="5B5597D4" w14:textId="77777777" w:rsidR="00A32821" w:rsidRDefault="00626A21" w:rsidP="00414001">
            <w:pPr>
              <w:spacing w:line="276" w:lineRule="auto"/>
              <w:rPr>
                <w:rFonts w:ascii="Arial" w:eastAsia="Calibri" w:hAnsi="Arial" w:cs="Arial"/>
                <w:sz w:val="22"/>
                <w:szCs w:val="22"/>
                <w:lang w:eastAsia="en-US"/>
              </w:rPr>
            </w:pPr>
            <w:r>
              <w:rPr>
                <w:rFonts w:ascii="Arial" w:eastAsia="Calibri" w:hAnsi="Arial" w:cs="Arial"/>
                <w:sz w:val="22"/>
                <w:szCs w:val="22"/>
                <w:lang w:eastAsia="en-US"/>
              </w:rPr>
              <w:t>Shaping Futures Board,</w:t>
            </w:r>
            <w:r w:rsidR="00414001">
              <w:rPr>
                <w:rFonts w:ascii="Arial" w:eastAsia="Calibri" w:hAnsi="Arial" w:cs="Arial"/>
                <w:sz w:val="22"/>
                <w:szCs w:val="22"/>
                <w:lang w:eastAsia="en-US"/>
              </w:rPr>
              <w:t xml:space="preserve"> </w:t>
            </w:r>
            <w:r w:rsidR="00832C09" w:rsidRPr="00832C09">
              <w:rPr>
                <w:rFonts w:ascii="Arial" w:eastAsia="Calibri" w:hAnsi="Arial" w:cs="Arial"/>
                <w:sz w:val="22"/>
                <w:szCs w:val="22"/>
                <w:lang w:eastAsia="en-US"/>
              </w:rPr>
              <w:t>June 201</w:t>
            </w:r>
            <w:r w:rsidR="00414001">
              <w:rPr>
                <w:rFonts w:ascii="Arial" w:eastAsia="Calibri" w:hAnsi="Arial" w:cs="Arial"/>
                <w:sz w:val="22"/>
                <w:szCs w:val="22"/>
                <w:lang w:eastAsia="en-US"/>
              </w:rPr>
              <w:t>9</w:t>
            </w:r>
          </w:p>
          <w:p w14:paraId="623C84A7" w14:textId="7DAE75F4" w:rsidR="00626A21" w:rsidRPr="00832C09" w:rsidRDefault="00626A21" w:rsidP="00414001">
            <w:pPr>
              <w:spacing w:line="276" w:lineRule="auto"/>
              <w:rPr>
                <w:rFonts w:ascii="Arial" w:eastAsia="Calibri" w:hAnsi="Arial" w:cs="Arial"/>
                <w:sz w:val="22"/>
                <w:szCs w:val="22"/>
                <w:lang w:eastAsia="en-US"/>
              </w:rPr>
            </w:pPr>
            <w:r>
              <w:rPr>
                <w:rFonts w:ascii="Arial" w:eastAsia="Calibri" w:hAnsi="Arial" w:cs="Arial"/>
                <w:sz w:val="22"/>
                <w:szCs w:val="22"/>
                <w:lang w:eastAsia="en-US"/>
              </w:rPr>
              <w:t>v1.0</w:t>
            </w:r>
          </w:p>
        </w:tc>
      </w:tr>
      <w:tr w:rsidR="00A32821" w:rsidRPr="00832C09" w14:paraId="07C01F90" w14:textId="77777777" w:rsidTr="00500E40">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E33ED" w14:textId="77777777" w:rsidR="00A32821" w:rsidRPr="00832C09" w:rsidRDefault="00A32821" w:rsidP="00A32821">
            <w:pPr>
              <w:spacing w:line="276" w:lineRule="auto"/>
              <w:rPr>
                <w:rFonts w:ascii="Arial" w:eastAsia="Calibri" w:hAnsi="Arial" w:cs="Arial"/>
                <w:b/>
                <w:bCs/>
                <w:sz w:val="22"/>
                <w:szCs w:val="22"/>
                <w:lang w:eastAsia="en-US"/>
              </w:rPr>
            </w:pPr>
            <w:r w:rsidRPr="00832C09">
              <w:rPr>
                <w:rFonts w:ascii="Arial" w:eastAsia="Calibri" w:hAnsi="Arial" w:cs="Arial"/>
                <w:b/>
                <w:bCs/>
                <w:lang w:eastAsia="en-US"/>
              </w:rPr>
              <w:t>Policy owner</w:t>
            </w:r>
          </w:p>
        </w:tc>
        <w:tc>
          <w:tcPr>
            <w:tcW w:w="8331" w:type="dxa"/>
            <w:gridSpan w:val="3"/>
            <w:tcBorders>
              <w:top w:val="nil"/>
              <w:left w:val="nil"/>
              <w:bottom w:val="single" w:sz="8" w:space="0" w:color="auto"/>
              <w:right w:val="single" w:sz="8" w:space="0" w:color="auto"/>
            </w:tcBorders>
            <w:tcMar>
              <w:top w:w="0" w:type="dxa"/>
              <w:left w:w="108" w:type="dxa"/>
              <w:bottom w:w="0" w:type="dxa"/>
              <w:right w:w="108" w:type="dxa"/>
            </w:tcMar>
          </w:tcPr>
          <w:p w14:paraId="243B0874" w14:textId="6345C6D7" w:rsidR="00A32821" w:rsidRPr="00832C09" w:rsidRDefault="00832C09" w:rsidP="00A32821">
            <w:pPr>
              <w:spacing w:line="276" w:lineRule="auto"/>
              <w:rPr>
                <w:rFonts w:ascii="Arial" w:eastAsia="Calibri" w:hAnsi="Arial" w:cs="Arial"/>
                <w:sz w:val="22"/>
                <w:szCs w:val="22"/>
                <w:lang w:eastAsia="en-US"/>
              </w:rPr>
            </w:pPr>
            <w:r w:rsidRPr="00832C09">
              <w:rPr>
                <w:rFonts w:ascii="Arial" w:eastAsia="Calibri" w:hAnsi="Arial" w:cs="Arial"/>
                <w:sz w:val="22"/>
                <w:szCs w:val="22"/>
                <w:lang w:eastAsia="en-US"/>
              </w:rPr>
              <w:t>Teaching Quality Committee</w:t>
            </w:r>
          </w:p>
        </w:tc>
      </w:tr>
      <w:tr w:rsidR="00A32821" w:rsidRPr="00832C09" w14:paraId="42548BB0" w14:textId="77777777" w:rsidTr="00500E40">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78D7C" w14:textId="77777777" w:rsidR="00A32821" w:rsidRPr="00832C09" w:rsidRDefault="00A32821" w:rsidP="00A32821">
            <w:pPr>
              <w:spacing w:line="276" w:lineRule="auto"/>
              <w:rPr>
                <w:rFonts w:ascii="Arial" w:eastAsia="Calibri" w:hAnsi="Arial" w:cs="Arial"/>
                <w:b/>
                <w:bCs/>
                <w:sz w:val="22"/>
                <w:szCs w:val="22"/>
                <w:lang w:eastAsia="en-US"/>
              </w:rPr>
            </w:pPr>
            <w:r w:rsidRPr="00832C09">
              <w:rPr>
                <w:rFonts w:ascii="Arial" w:eastAsia="Calibri" w:hAnsi="Arial" w:cs="Arial"/>
                <w:b/>
                <w:bCs/>
                <w:lang w:eastAsia="en-US"/>
              </w:rPr>
              <w:t>Date for Review:</w:t>
            </w:r>
          </w:p>
        </w:tc>
        <w:tc>
          <w:tcPr>
            <w:tcW w:w="8331" w:type="dxa"/>
            <w:gridSpan w:val="3"/>
            <w:tcBorders>
              <w:top w:val="nil"/>
              <w:left w:val="nil"/>
              <w:bottom w:val="single" w:sz="8" w:space="0" w:color="auto"/>
              <w:right w:val="single" w:sz="8" w:space="0" w:color="auto"/>
            </w:tcBorders>
            <w:tcMar>
              <w:top w:w="0" w:type="dxa"/>
              <w:left w:w="108" w:type="dxa"/>
              <w:bottom w:w="0" w:type="dxa"/>
              <w:right w:w="108" w:type="dxa"/>
            </w:tcMar>
          </w:tcPr>
          <w:p w14:paraId="1B4BB467" w14:textId="534872AA" w:rsidR="00A32821" w:rsidRPr="00832C09" w:rsidRDefault="00D1290C" w:rsidP="00A32821">
            <w:pPr>
              <w:spacing w:line="276" w:lineRule="auto"/>
              <w:rPr>
                <w:rFonts w:ascii="Arial" w:eastAsia="Calibri" w:hAnsi="Arial" w:cs="Arial"/>
                <w:sz w:val="22"/>
                <w:szCs w:val="22"/>
                <w:lang w:eastAsia="en-US"/>
              </w:rPr>
            </w:pPr>
            <w:r w:rsidRPr="00832C09">
              <w:rPr>
                <w:rFonts w:ascii="Arial" w:eastAsia="Calibri" w:hAnsi="Arial" w:cs="Arial"/>
                <w:sz w:val="22"/>
                <w:szCs w:val="22"/>
                <w:lang w:eastAsia="en-US"/>
              </w:rPr>
              <w:t>April 2020</w:t>
            </w:r>
          </w:p>
        </w:tc>
      </w:tr>
      <w:tr w:rsidR="00A32821" w:rsidRPr="00832C09" w14:paraId="46E3C87C" w14:textId="77777777" w:rsidTr="00500E40">
        <w:trPr>
          <w:trHeight w:val="69"/>
        </w:trPr>
        <w:tc>
          <w:tcPr>
            <w:tcW w:w="29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FC896" w14:textId="77777777" w:rsidR="00A32821" w:rsidRPr="00832C09" w:rsidRDefault="00A32821" w:rsidP="00A32821">
            <w:pPr>
              <w:spacing w:line="69" w:lineRule="atLeast"/>
              <w:rPr>
                <w:rFonts w:ascii="Arial" w:eastAsia="Calibri" w:hAnsi="Arial" w:cs="Arial"/>
                <w:b/>
                <w:bCs/>
                <w:sz w:val="22"/>
                <w:szCs w:val="22"/>
                <w:lang w:eastAsia="en-US"/>
              </w:rPr>
            </w:pPr>
            <w:r w:rsidRPr="00832C09">
              <w:rPr>
                <w:rFonts w:ascii="Arial" w:eastAsia="Calibri" w:hAnsi="Arial" w:cs="Arial"/>
                <w:b/>
                <w:bCs/>
                <w:lang w:eastAsia="en-US"/>
              </w:rPr>
              <w:t>Amendments since Approval:</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13F00AE" w14:textId="77777777" w:rsidR="00A32821" w:rsidRPr="00832C09" w:rsidRDefault="00A32821" w:rsidP="00A32821">
            <w:pPr>
              <w:spacing w:line="69" w:lineRule="atLeast"/>
              <w:rPr>
                <w:rFonts w:ascii="Arial" w:eastAsia="Calibri" w:hAnsi="Arial" w:cs="Arial"/>
                <w:b/>
                <w:bCs/>
                <w:sz w:val="22"/>
                <w:szCs w:val="22"/>
                <w:lang w:eastAsia="en-US"/>
              </w:rPr>
            </w:pPr>
            <w:r w:rsidRPr="00832C09">
              <w:rPr>
                <w:rFonts w:ascii="Arial" w:eastAsia="Calibri" w:hAnsi="Arial" w:cs="Arial"/>
                <w:b/>
                <w:bCs/>
                <w:lang w:eastAsia="en-US"/>
              </w:rPr>
              <w:t>Detail of Revision: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909D30C" w14:textId="77777777" w:rsidR="00A32821" w:rsidRPr="00832C09" w:rsidRDefault="00A32821" w:rsidP="00A32821">
            <w:pPr>
              <w:spacing w:line="69" w:lineRule="atLeast"/>
              <w:rPr>
                <w:rFonts w:ascii="Arial" w:eastAsia="Calibri" w:hAnsi="Arial" w:cs="Arial"/>
                <w:b/>
                <w:bCs/>
                <w:sz w:val="22"/>
                <w:szCs w:val="22"/>
                <w:lang w:eastAsia="en-US"/>
              </w:rPr>
            </w:pPr>
            <w:r w:rsidRPr="00832C09">
              <w:rPr>
                <w:rFonts w:ascii="Arial" w:eastAsia="Calibri" w:hAnsi="Arial" w:cs="Arial"/>
                <w:b/>
                <w:bCs/>
                <w:lang w:eastAsia="en-US"/>
              </w:rPr>
              <w:t>Date of Revision:</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14:paraId="38F26A46" w14:textId="77777777" w:rsidR="00A32821" w:rsidRPr="00832C09" w:rsidRDefault="00A32821" w:rsidP="00A32821">
            <w:pPr>
              <w:spacing w:line="69" w:lineRule="atLeast"/>
              <w:rPr>
                <w:rFonts w:ascii="Arial" w:eastAsia="Calibri" w:hAnsi="Arial" w:cs="Arial"/>
                <w:b/>
                <w:bCs/>
                <w:sz w:val="22"/>
                <w:szCs w:val="22"/>
                <w:lang w:eastAsia="en-US"/>
              </w:rPr>
            </w:pPr>
            <w:r w:rsidRPr="00832C09">
              <w:rPr>
                <w:rFonts w:ascii="Arial" w:eastAsia="Calibri" w:hAnsi="Arial" w:cs="Arial"/>
                <w:b/>
                <w:bCs/>
                <w:lang w:eastAsia="en-US"/>
              </w:rPr>
              <w:t>Revision Approved by:</w:t>
            </w:r>
          </w:p>
        </w:tc>
      </w:tr>
      <w:tr w:rsidR="00A32821" w:rsidRPr="00832C09" w14:paraId="2A463AD8" w14:textId="77777777" w:rsidTr="00500E40">
        <w:trPr>
          <w:trHeight w:val="69"/>
        </w:trPr>
        <w:tc>
          <w:tcPr>
            <w:tcW w:w="0" w:type="auto"/>
            <w:vMerge/>
            <w:tcBorders>
              <w:top w:val="nil"/>
              <w:left w:val="single" w:sz="8" w:space="0" w:color="auto"/>
              <w:bottom w:val="single" w:sz="8" w:space="0" w:color="auto"/>
              <w:right w:val="single" w:sz="8" w:space="0" w:color="auto"/>
            </w:tcBorders>
            <w:vAlign w:val="center"/>
            <w:hideMark/>
          </w:tcPr>
          <w:p w14:paraId="2B8F1AB5" w14:textId="77777777" w:rsidR="00A32821" w:rsidRPr="00832C09" w:rsidRDefault="00A32821" w:rsidP="00A32821">
            <w:pPr>
              <w:spacing w:line="276" w:lineRule="auto"/>
              <w:rPr>
                <w:rFonts w:ascii="Arial" w:eastAsia="Calibri" w:hAnsi="Arial" w:cs="Arial"/>
                <w:b/>
                <w:bCs/>
                <w:sz w:val="22"/>
                <w:szCs w:val="22"/>
                <w:lang w:eastAsia="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2C006D8B" w14:textId="77777777" w:rsidR="00A32821" w:rsidRPr="00832C09" w:rsidRDefault="00A32821" w:rsidP="00A32821">
            <w:pPr>
              <w:spacing w:line="276" w:lineRule="auto"/>
              <w:rPr>
                <w:rFonts w:ascii="Arial" w:eastAsia="Calibri" w:hAnsi="Arial" w:cs="Arial"/>
                <w:sz w:val="6"/>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7773488" w14:textId="77777777" w:rsidR="00A32821" w:rsidRPr="00832C09" w:rsidRDefault="00A32821" w:rsidP="00A32821">
            <w:pPr>
              <w:spacing w:line="276" w:lineRule="auto"/>
              <w:rPr>
                <w:rFonts w:ascii="Arial" w:eastAsia="Calibri" w:hAnsi="Arial" w:cs="Arial"/>
                <w:sz w:val="6"/>
                <w:szCs w:val="22"/>
                <w:lang w:eastAsia="en-US"/>
              </w:rPr>
            </w:pPr>
          </w:p>
        </w:tc>
        <w:tc>
          <w:tcPr>
            <w:tcW w:w="2094" w:type="dxa"/>
            <w:tcBorders>
              <w:top w:val="nil"/>
              <w:left w:val="nil"/>
              <w:bottom w:val="single" w:sz="8" w:space="0" w:color="auto"/>
              <w:right w:val="single" w:sz="8" w:space="0" w:color="auto"/>
            </w:tcBorders>
            <w:tcMar>
              <w:top w:w="0" w:type="dxa"/>
              <w:left w:w="108" w:type="dxa"/>
              <w:bottom w:w="0" w:type="dxa"/>
              <w:right w:w="108" w:type="dxa"/>
            </w:tcMar>
          </w:tcPr>
          <w:p w14:paraId="23270060" w14:textId="77777777" w:rsidR="00A32821" w:rsidRPr="00832C09" w:rsidRDefault="00A32821" w:rsidP="00A32821">
            <w:pPr>
              <w:spacing w:line="276" w:lineRule="auto"/>
              <w:rPr>
                <w:rFonts w:ascii="Arial" w:eastAsia="Calibri" w:hAnsi="Arial" w:cs="Arial"/>
                <w:sz w:val="6"/>
                <w:szCs w:val="22"/>
                <w:lang w:eastAsia="en-US"/>
              </w:rPr>
            </w:pPr>
          </w:p>
        </w:tc>
      </w:tr>
      <w:tr w:rsidR="00A32821" w:rsidRPr="00832C09" w14:paraId="3E60E5A2" w14:textId="77777777" w:rsidTr="00500E40">
        <w:trPr>
          <w:trHeight w:val="69"/>
        </w:trPr>
        <w:tc>
          <w:tcPr>
            <w:tcW w:w="0" w:type="auto"/>
            <w:vMerge/>
            <w:tcBorders>
              <w:top w:val="nil"/>
              <w:left w:val="single" w:sz="8" w:space="0" w:color="auto"/>
              <w:bottom w:val="single" w:sz="8" w:space="0" w:color="auto"/>
              <w:right w:val="single" w:sz="8" w:space="0" w:color="auto"/>
            </w:tcBorders>
            <w:vAlign w:val="center"/>
            <w:hideMark/>
          </w:tcPr>
          <w:p w14:paraId="634C2D62" w14:textId="77777777" w:rsidR="00A32821" w:rsidRPr="00832C09" w:rsidRDefault="00A32821" w:rsidP="00A32821">
            <w:pPr>
              <w:spacing w:line="276" w:lineRule="auto"/>
              <w:rPr>
                <w:rFonts w:ascii="Arial" w:eastAsia="Calibri" w:hAnsi="Arial" w:cs="Arial"/>
                <w:b/>
                <w:bCs/>
                <w:sz w:val="22"/>
                <w:szCs w:val="22"/>
                <w:lang w:eastAsia="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7C75FC4A" w14:textId="77777777" w:rsidR="00A32821" w:rsidRPr="00832C09" w:rsidRDefault="00A32821" w:rsidP="00A32821">
            <w:pPr>
              <w:spacing w:line="276" w:lineRule="auto"/>
              <w:rPr>
                <w:rFonts w:ascii="Arial" w:eastAsia="Calibri" w:hAnsi="Arial" w:cs="Arial"/>
                <w:sz w:val="6"/>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55C8E1B" w14:textId="77777777" w:rsidR="00A32821" w:rsidRPr="00832C09" w:rsidRDefault="00A32821" w:rsidP="00A32821">
            <w:pPr>
              <w:spacing w:line="276" w:lineRule="auto"/>
              <w:rPr>
                <w:rFonts w:ascii="Arial" w:eastAsia="Calibri" w:hAnsi="Arial" w:cs="Arial"/>
                <w:sz w:val="6"/>
                <w:szCs w:val="22"/>
                <w:lang w:eastAsia="en-US"/>
              </w:rPr>
            </w:pPr>
          </w:p>
        </w:tc>
        <w:tc>
          <w:tcPr>
            <w:tcW w:w="2094" w:type="dxa"/>
            <w:tcBorders>
              <w:top w:val="nil"/>
              <w:left w:val="nil"/>
              <w:bottom w:val="single" w:sz="8" w:space="0" w:color="auto"/>
              <w:right w:val="single" w:sz="8" w:space="0" w:color="auto"/>
            </w:tcBorders>
            <w:tcMar>
              <w:top w:w="0" w:type="dxa"/>
              <w:left w:w="108" w:type="dxa"/>
              <w:bottom w:w="0" w:type="dxa"/>
              <w:right w:w="108" w:type="dxa"/>
            </w:tcMar>
          </w:tcPr>
          <w:p w14:paraId="5AC478F3" w14:textId="77777777" w:rsidR="00A32821" w:rsidRPr="00832C09" w:rsidRDefault="00A32821" w:rsidP="00A32821">
            <w:pPr>
              <w:spacing w:line="276" w:lineRule="auto"/>
              <w:rPr>
                <w:rFonts w:ascii="Arial" w:eastAsia="Calibri" w:hAnsi="Arial" w:cs="Arial"/>
                <w:sz w:val="6"/>
                <w:szCs w:val="22"/>
                <w:lang w:eastAsia="en-US"/>
              </w:rPr>
            </w:pPr>
          </w:p>
        </w:tc>
      </w:tr>
      <w:tr w:rsidR="00A32821" w:rsidRPr="00832C09" w14:paraId="63CCF5E5" w14:textId="77777777" w:rsidTr="00500E40">
        <w:trPr>
          <w:trHeight w:val="69"/>
        </w:trPr>
        <w:tc>
          <w:tcPr>
            <w:tcW w:w="0" w:type="auto"/>
            <w:vMerge/>
            <w:tcBorders>
              <w:top w:val="nil"/>
              <w:left w:val="single" w:sz="8" w:space="0" w:color="auto"/>
              <w:bottom w:val="single" w:sz="8" w:space="0" w:color="auto"/>
              <w:right w:val="single" w:sz="8" w:space="0" w:color="auto"/>
            </w:tcBorders>
            <w:vAlign w:val="center"/>
            <w:hideMark/>
          </w:tcPr>
          <w:p w14:paraId="26564C26" w14:textId="77777777" w:rsidR="00A32821" w:rsidRPr="00832C09" w:rsidRDefault="00A32821" w:rsidP="00A32821">
            <w:pPr>
              <w:spacing w:line="276" w:lineRule="auto"/>
              <w:rPr>
                <w:rFonts w:ascii="Arial" w:eastAsia="Calibri" w:hAnsi="Arial" w:cs="Arial"/>
                <w:b/>
                <w:bCs/>
                <w:sz w:val="22"/>
                <w:szCs w:val="22"/>
                <w:lang w:eastAsia="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57B40E8B" w14:textId="77777777" w:rsidR="00A32821" w:rsidRPr="00832C09" w:rsidRDefault="00A32821" w:rsidP="00A32821">
            <w:pPr>
              <w:spacing w:line="276" w:lineRule="auto"/>
              <w:rPr>
                <w:rFonts w:ascii="Arial" w:eastAsia="Calibri" w:hAnsi="Arial" w:cs="Arial"/>
                <w:sz w:val="6"/>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19EC1F0" w14:textId="77777777" w:rsidR="00A32821" w:rsidRPr="00832C09" w:rsidRDefault="00A32821" w:rsidP="00A32821">
            <w:pPr>
              <w:spacing w:line="276" w:lineRule="auto"/>
              <w:rPr>
                <w:rFonts w:ascii="Arial" w:eastAsia="Calibri" w:hAnsi="Arial" w:cs="Arial"/>
                <w:sz w:val="6"/>
                <w:szCs w:val="22"/>
                <w:lang w:eastAsia="en-US"/>
              </w:rPr>
            </w:pPr>
          </w:p>
        </w:tc>
        <w:tc>
          <w:tcPr>
            <w:tcW w:w="2094" w:type="dxa"/>
            <w:tcBorders>
              <w:top w:val="nil"/>
              <w:left w:val="nil"/>
              <w:bottom w:val="single" w:sz="8" w:space="0" w:color="auto"/>
              <w:right w:val="single" w:sz="8" w:space="0" w:color="auto"/>
            </w:tcBorders>
            <w:tcMar>
              <w:top w:w="0" w:type="dxa"/>
              <w:left w:w="108" w:type="dxa"/>
              <w:bottom w:w="0" w:type="dxa"/>
              <w:right w:w="108" w:type="dxa"/>
            </w:tcMar>
          </w:tcPr>
          <w:p w14:paraId="3282ED0E" w14:textId="77777777" w:rsidR="00A32821" w:rsidRPr="00832C09" w:rsidRDefault="00A32821" w:rsidP="00A32821">
            <w:pPr>
              <w:spacing w:line="276" w:lineRule="auto"/>
              <w:rPr>
                <w:rFonts w:ascii="Arial" w:eastAsia="Calibri" w:hAnsi="Arial" w:cs="Arial"/>
                <w:sz w:val="6"/>
                <w:szCs w:val="22"/>
                <w:lang w:eastAsia="en-US"/>
              </w:rPr>
            </w:pPr>
          </w:p>
        </w:tc>
      </w:tr>
      <w:tr w:rsidR="00A32821" w:rsidRPr="00832C09" w14:paraId="799CF4A9" w14:textId="77777777" w:rsidTr="00500E40">
        <w:trPr>
          <w:trHeight w:val="69"/>
        </w:trPr>
        <w:tc>
          <w:tcPr>
            <w:tcW w:w="0" w:type="auto"/>
            <w:vMerge/>
            <w:tcBorders>
              <w:top w:val="nil"/>
              <w:left w:val="single" w:sz="8" w:space="0" w:color="auto"/>
              <w:bottom w:val="single" w:sz="8" w:space="0" w:color="auto"/>
              <w:right w:val="single" w:sz="8" w:space="0" w:color="auto"/>
            </w:tcBorders>
            <w:vAlign w:val="center"/>
            <w:hideMark/>
          </w:tcPr>
          <w:p w14:paraId="49023ACB" w14:textId="77777777" w:rsidR="00A32821" w:rsidRPr="00832C09" w:rsidRDefault="00A32821" w:rsidP="00A32821">
            <w:pPr>
              <w:spacing w:line="276" w:lineRule="auto"/>
              <w:rPr>
                <w:rFonts w:ascii="Arial" w:eastAsia="Calibri" w:hAnsi="Arial" w:cs="Arial"/>
                <w:b/>
                <w:bCs/>
                <w:sz w:val="22"/>
                <w:szCs w:val="22"/>
                <w:lang w:eastAsia="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75964719" w14:textId="77777777" w:rsidR="00A32821" w:rsidRPr="00832C09" w:rsidRDefault="00A32821" w:rsidP="00A32821">
            <w:pPr>
              <w:spacing w:line="276" w:lineRule="auto"/>
              <w:rPr>
                <w:rFonts w:ascii="Arial" w:eastAsia="Calibri" w:hAnsi="Arial" w:cs="Arial"/>
                <w:sz w:val="6"/>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132839E" w14:textId="77777777" w:rsidR="00A32821" w:rsidRPr="00832C09" w:rsidRDefault="00A32821" w:rsidP="00A32821">
            <w:pPr>
              <w:spacing w:line="276" w:lineRule="auto"/>
              <w:rPr>
                <w:rFonts w:ascii="Arial" w:eastAsia="Calibri" w:hAnsi="Arial" w:cs="Arial"/>
                <w:sz w:val="6"/>
                <w:szCs w:val="22"/>
                <w:lang w:eastAsia="en-US"/>
              </w:rPr>
            </w:pPr>
          </w:p>
        </w:tc>
        <w:tc>
          <w:tcPr>
            <w:tcW w:w="2094" w:type="dxa"/>
            <w:tcBorders>
              <w:top w:val="nil"/>
              <w:left w:val="nil"/>
              <w:bottom w:val="single" w:sz="8" w:space="0" w:color="auto"/>
              <w:right w:val="single" w:sz="8" w:space="0" w:color="auto"/>
            </w:tcBorders>
            <w:tcMar>
              <w:top w:w="0" w:type="dxa"/>
              <w:left w:w="108" w:type="dxa"/>
              <w:bottom w:w="0" w:type="dxa"/>
              <w:right w:w="108" w:type="dxa"/>
            </w:tcMar>
          </w:tcPr>
          <w:p w14:paraId="29F00FDA" w14:textId="77777777" w:rsidR="00A32821" w:rsidRPr="00832C09" w:rsidRDefault="00A32821" w:rsidP="00A32821">
            <w:pPr>
              <w:spacing w:line="276" w:lineRule="auto"/>
              <w:rPr>
                <w:rFonts w:ascii="Arial" w:eastAsia="Calibri" w:hAnsi="Arial" w:cs="Arial"/>
                <w:sz w:val="6"/>
                <w:szCs w:val="22"/>
                <w:lang w:eastAsia="en-US"/>
              </w:rPr>
            </w:pPr>
          </w:p>
        </w:tc>
      </w:tr>
    </w:tbl>
    <w:p w14:paraId="1562E8C4" w14:textId="77777777" w:rsidR="00A32821" w:rsidRPr="00832C09" w:rsidRDefault="00A32821" w:rsidP="00A32821">
      <w:pPr>
        <w:spacing w:line="276" w:lineRule="auto"/>
        <w:rPr>
          <w:rFonts w:ascii="Arial" w:eastAsia="Calibri" w:hAnsi="Arial" w:cs="Arial"/>
          <w:lang w:eastAsia="en-US"/>
        </w:rPr>
      </w:pPr>
    </w:p>
    <w:p w14:paraId="062AFDDE" w14:textId="77777777" w:rsidR="00A32821" w:rsidRPr="00832C09" w:rsidRDefault="00A32821" w:rsidP="00D81A56">
      <w:pPr>
        <w:rPr>
          <w:rFonts w:ascii="Arial" w:hAnsi="Arial" w:cs="Arial"/>
        </w:rPr>
      </w:pPr>
    </w:p>
    <w:sectPr w:rsidR="00A32821" w:rsidRPr="00832C09" w:rsidSect="00D81A56">
      <w:footerReference w:type="default" r:id="rId11"/>
      <w:headerReference w:type="first" r:id="rId12"/>
      <w:footerReference w:type="first" r:id="rId13"/>
      <w:pgSz w:w="11900" w:h="16840" w:code="9"/>
      <w:pgMar w:top="720" w:right="720" w:bottom="720" w:left="72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096C1" w14:textId="77777777" w:rsidR="0016711A" w:rsidRDefault="0016711A" w:rsidP="00732810">
      <w:pPr>
        <w:spacing w:after="0"/>
      </w:pPr>
      <w:r>
        <w:separator/>
      </w:r>
    </w:p>
  </w:endnote>
  <w:endnote w:type="continuationSeparator" w:id="0">
    <w:p w14:paraId="175B7F44" w14:textId="77777777" w:rsidR="0016711A" w:rsidRDefault="0016711A"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altName w:val="Calibri"/>
    <w:panose1 w:val="00000000000000000000"/>
    <w:charset w:val="00"/>
    <w:family w:val="modern"/>
    <w:notTrueType/>
    <w:pitch w:val="variable"/>
    <w:sig w:usb0="800000AF" w:usb1="5000004A" w:usb2="00000000" w:usb3="00000000" w:csb0="0000009B" w:csb1="00000000"/>
  </w:font>
  <w:font w:name="FS Clerkenwell Light">
    <w:altName w:val="Calibri"/>
    <w:panose1 w:val="00000000000000000000"/>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8FD69" w14:textId="77777777" w:rsidR="00BE495D" w:rsidRPr="00BE495D" w:rsidRDefault="00BE495D" w:rsidP="00BE495D">
    <w:pPr>
      <w:pStyle w:val="Footer"/>
      <w:rPr>
        <w:rFonts w:ascii="Arial" w:hAnsi="Arial" w:cs="Arial"/>
      </w:rPr>
    </w:pPr>
    <w:r w:rsidRPr="00BE495D">
      <w:rPr>
        <w:rFonts w:ascii="Arial" w:eastAsiaTheme="majorEastAsia" w:hAnsi="Arial" w:cs="Arial"/>
      </w:rPr>
      <w:t>Academic Advising - Academic Advice Framework - Policy SF Board June 2019</w:t>
    </w:r>
  </w:p>
  <w:p w14:paraId="78337F73" w14:textId="77777777" w:rsidR="00BE495D" w:rsidRDefault="00BE4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2508" w14:textId="23BAABD6" w:rsidR="00BE495D" w:rsidRPr="00BE495D" w:rsidRDefault="00BE495D">
    <w:pPr>
      <w:pStyle w:val="Footer"/>
      <w:rPr>
        <w:rFonts w:ascii="Arial" w:hAnsi="Arial" w:cs="Arial"/>
      </w:rPr>
    </w:pPr>
    <w:r w:rsidRPr="00BE495D">
      <w:rPr>
        <w:rFonts w:ascii="Arial" w:eastAsiaTheme="majorEastAsia" w:hAnsi="Arial" w:cs="Arial"/>
      </w:rPr>
      <w:t>Academic Advising - Academic Advice Framework - Policy SF Board June 2019</w:t>
    </w:r>
  </w:p>
  <w:p w14:paraId="124FF206" w14:textId="09F8822C" w:rsidR="008173CA" w:rsidRPr="00966D9C" w:rsidRDefault="008173C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69F39" w14:textId="77777777" w:rsidR="0016711A" w:rsidRDefault="0016711A" w:rsidP="00732810">
      <w:pPr>
        <w:spacing w:after="0"/>
      </w:pPr>
      <w:r>
        <w:separator/>
      </w:r>
    </w:p>
  </w:footnote>
  <w:footnote w:type="continuationSeparator" w:id="0">
    <w:p w14:paraId="573952B0" w14:textId="77777777" w:rsidR="0016711A" w:rsidRDefault="0016711A"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89237"/>
      <w:docPartObj>
        <w:docPartGallery w:val="Page Numbers (Top of Page)"/>
        <w:docPartUnique/>
      </w:docPartObj>
    </w:sdtPr>
    <w:sdtEndPr>
      <w:rPr>
        <w:noProof/>
      </w:rPr>
    </w:sdtEndPr>
    <w:sdtContent>
      <w:p w14:paraId="63FAA09A" w14:textId="3932F14E" w:rsidR="00B97FBE" w:rsidRDefault="00B97FBE">
        <w:pPr>
          <w:pStyle w:val="Header"/>
          <w:jc w:val="right"/>
        </w:pPr>
        <w:r>
          <w:fldChar w:fldCharType="begin"/>
        </w:r>
        <w:r>
          <w:instrText xml:space="preserve"> PAGE   \* MERGEFORMAT </w:instrText>
        </w:r>
        <w:r>
          <w:fldChar w:fldCharType="separate"/>
        </w:r>
        <w:r w:rsidR="00BE495D">
          <w:rPr>
            <w:noProof/>
          </w:rPr>
          <w:t>1</w:t>
        </w:r>
        <w:r>
          <w:rPr>
            <w:noProof/>
          </w:rPr>
          <w:fldChar w:fldCharType="end"/>
        </w:r>
      </w:p>
    </w:sdtContent>
  </w:sdt>
  <w:p w14:paraId="56D27C62" w14:textId="77777777" w:rsidR="00B97FBE" w:rsidRDefault="00B97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BC031D"/>
    <w:multiLevelType w:val="hybridMultilevel"/>
    <w:tmpl w:val="BE2E7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6145">
      <o:colormenu v:ext="edit" fillcolor="none [305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0638C"/>
    <w:rsid w:val="00011BEB"/>
    <w:rsid w:val="0004653B"/>
    <w:rsid w:val="00057AA2"/>
    <w:rsid w:val="00063D84"/>
    <w:rsid w:val="000674BF"/>
    <w:rsid w:val="00070D32"/>
    <w:rsid w:val="00077296"/>
    <w:rsid w:val="000A21C3"/>
    <w:rsid w:val="000C1998"/>
    <w:rsid w:val="000F2E11"/>
    <w:rsid w:val="000F54BC"/>
    <w:rsid w:val="00107F5C"/>
    <w:rsid w:val="00156A11"/>
    <w:rsid w:val="00157490"/>
    <w:rsid w:val="0016711A"/>
    <w:rsid w:val="001A21BE"/>
    <w:rsid w:val="001F31F7"/>
    <w:rsid w:val="00266118"/>
    <w:rsid w:val="002D2372"/>
    <w:rsid w:val="00361E50"/>
    <w:rsid w:val="003A61CD"/>
    <w:rsid w:val="003B4CFE"/>
    <w:rsid w:val="003E7C5A"/>
    <w:rsid w:val="003F11CF"/>
    <w:rsid w:val="00414001"/>
    <w:rsid w:val="0042154D"/>
    <w:rsid w:val="004740A2"/>
    <w:rsid w:val="004F1189"/>
    <w:rsid w:val="00516D03"/>
    <w:rsid w:val="00523E2E"/>
    <w:rsid w:val="00571BAF"/>
    <w:rsid w:val="00596F05"/>
    <w:rsid w:val="005D73DC"/>
    <w:rsid w:val="0060181C"/>
    <w:rsid w:val="00620054"/>
    <w:rsid w:val="00626A21"/>
    <w:rsid w:val="006E0CF6"/>
    <w:rsid w:val="00732810"/>
    <w:rsid w:val="00801BDB"/>
    <w:rsid w:val="00807686"/>
    <w:rsid w:val="008173CA"/>
    <w:rsid w:val="00832C09"/>
    <w:rsid w:val="0083699C"/>
    <w:rsid w:val="008464A2"/>
    <w:rsid w:val="008605D4"/>
    <w:rsid w:val="008632B6"/>
    <w:rsid w:val="00883EAB"/>
    <w:rsid w:val="00924448"/>
    <w:rsid w:val="00966D9C"/>
    <w:rsid w:val="009F7D72"/>
    <w:rsid w:val="00A3242E"/>
    <w:rsid w:val="00A32821"/>
    <w:rsid w:val="00A5522F"/>
    <w:rsid w:val="00A61D6C"/>
    <w:rsid w:val="00A95F07"/>
    <w:rsid w:val="00AC3725"/>
    <w:rsid w:val="00B52020"/>
    <w:rsid w:val="00B97FBE"/>
    <w:rsid w:val="00BE495D"/>
    <w:rsid w:val="00C30C32"/>
    <w:rsid w:val="00C318D5"/>
    <w:rsid w:val="00C728FD"/>
    <w:rsid w:val="00C90E53"/>
    <w:rsid w:val="00CB79A2"/>
    <w:rsid w:val="00CF2130"/>
    <w:rsid w:val="00D02626"/>
    <w:rsid w:val="00D1290C"/>
    <w:rsid w:val="00D43DFB"/>
    <w:rsid w:val="00D81A56"/>
    <w:rsid w:val="00DC4AB8"/>
    <w:rsid w:val="00E034B4"/>
    <w:rsid w:val="00E236F7"/>
    <w:rsid w:val="00E86DFC"/>
    <w:rsid w:val="00E95038"/>
    <w:rsid w:val="00ED0D14"/>
    <w:rsid w:val="00FC779D"/>
    <w:rsid w:val="00FE5DF2"/>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3052]"/>
    </o:shapedefaults>
    <o:shapelayout v:ext="edit">
      <o:idmap v:ext="edit" data="1"/>
    </o:shapelayout>
  </w:shapeDefaults>
  <w:doNotEmbedSmartTags/>
  <w:decimalSymbol w:val="."/>
  <w:listSeparator w:val=","/>
  <w14:docId w14:val="432D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157490"/>
    <w:pPr>
      <w:keepNext/>
      <w:keepLines/>
      <w:spacing w:before="480" w:after="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7C5A"/>
    <w:pPr>
      <w:keepNext/>
      <w:keepLines/>
      <w:spacing w:before="200" w:after="0"/>
      <w:outlineLvl w:val="1"/>
    </w:pPr>
    <w:rPr>
      <w:rFonts w:ascii="Arial" w:eastAsiaTheme="majorEastAsia" w:hAnsi="Arial"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3E7C5A"/>
    <w:rPr>
      <w:rFonts w:ascii="Arial" w:eastAsiaTheme="majorEastAsia" w:hAnsi="Arial" w:cstheme="majorBidi"/>
      <w:b/>
      <w:bCs/>
      <w:color w:val="4F81BD" w:themeColor="accent1"/>
      <w:sz w:val="24"/>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157490"/>
    <w:rPr>
      <w:rFonts w:ascii="Arial" w:eastAsiaTheme="majorEastAsia" w:hAnsi="Arial" w:cstheme="majorBidi"/>
      <w:b/>
      <w:bCs/>
      <w:color w:val="345A8A" w:themeColor="accent1" w:themeShade="B5"/>
      <w:sz w:val="32"/>
      <w:szCs w:val="32"/>
    </w:rPr>
  </w:style>
  <w:style w:type="paragraph" w:styleId="NoSpacing">
    <w:name w:val="No Spacing"/>
    <w:uiPriority w:val="1"/>
    <w:qFormat/>
    <w:rsid w:val="00A61D6C"/>
    <w:pPr>
      <w:spacing w:after="0"/>
    </w:pPr>
    <w:rPr>
      <w:sz w:val="24"/>
      <w:szCs w:val="24"/>
    </w:rPr>
  </w:style>
  <w:style w:type="character" w:styleId="CommentReference">
    <w:name w:val="annotation reference"/>
    <w:basedOn w:val="DefaultParagraphFont"/>
    <w:uiPriority w:val="99"/>
    <w:semiHidden/>
    <w:unhideWhenUsed/>
    <w:rsid w:val="00A32821"/>
    <w:rPr>
      <w:sz w:val="16"/>
      <w:szCs w:val="16"/>
    </w:rPr>
  </w:style>
  <w:style w:type="paragraph" w:styleId="CommentText">
    <w:name w:val="annotation text"/>
    <w:basedOn w:val="Normal"/>
    <w:link w:val="CommentTextChar"/>
    <w:uiPriority w:val="99"/>
    <w:semiHidden/>
    <w:unhideWhenUsed/>
    <w:rsid w:val="00A32821"/>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semiHidden/>
    <w:rsid w:val="00A32821"/>
    <w:rPr>
      <w:rFonts w:ascii="Arial" w:eastAsia="Calibri" w:hAnsi="Arial" w:cs="Arial"/>
      <w:lang w:eastAsia="en-US"/>
    </w:rPr>
  </w:style>
  <w:style w:type="character" w:styleId="Hyperlink">
    <w:name w:val="Hyperlink"/>
    <w:basedOn w:val="DefaultParagraphFont"/>
    <w:uiPriority w:val="99"/>
    <w:unhideWhenUsed/>
    <w:rsid w:val="006E0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157490"/>
    <w:pPr>
      <w:keepNext/>
      <w:keepLines/>
      <w:spacing w:before="480" w:after="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7C5A"/>
    <w:pPr>
      <w:keepNext/>
      <w:keepLines/>
      <w:spacing w:before="200" w:after="0"/>
      <w:outlineLvl w:val="1"/>
    </w:pPr>
    <w:rPr>
      <w:rFonts w:ascii="Arial" w:eastAsiaTheme="majorEastAsia" w:hAnsi="Arial"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3E7C5A"/>
    <w:rPr>
      <w:rFonts w:ascii="Arial" w:eastAsiaTheme="majorEastAsia" w:hAnsi="Arial" w:cstheme="majorBidi"/>
      <w:b/>
      <w:bCs/>
      <w:color w:val="4F81BD" w:themeColor="accent1"/>
      <w:sz w:val="24"/>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157490"/>
    <w:rPr>
      <w:rFonts w:ascii="Arial" w:eastAsiaTheme="majorEastAsia" w:hAnsi="Arial" w:cstheme="majorBidi"/>
      <w:b/>
      <w:bCs/>
      <w:color w:val="345A8A" w:themeColor="accent1" w:themeShade="B5"/>
      <w:sz w:val="32"/>
      <w:szCs w:val="32"/>
    </w:rPr>
  </w:style>
  <w:style w:type="paragraph" w:styleId="NoSpacing">
    <w:name w:val="No Spacing"/>
    <w:uiPriority w:val="1"/>
    <w:qFormat/>
    <w:rsid w:val="00A61D6C"/>
    <w:pPr>
      <w:spacing w:after="0"/>
    </w:pPr>
    <w:rPr>
      <w:sz w:val="24"/>
      <w:szCs w:val="24"/>
    </w:rPr>
  </w:style>
  <w:style w:type="character" w:styleId="CommentReference">
    <w:name w:val="annotation reference"/>
    <w:basedOn w:val="DefaultParagraphFont"/>
    <w:uiPriority w:val="99"/>
    <w:semiHidden/>
    <w:unhideWhenUsed/>
    <w:rsid w:val="00A32821"/>
    <w:rPr>
      <w:sz w:val="16"/>
      <w:szCs w:val="16"/>
    </w:rPr>
  </w:style>
  <w:style w:type="paragraph" w:styleId="CommentText">
    <w:name w:val="annotation text"/>
    <w:basedOn w:val="Normal"/>
    <w:link w:val="CommentTextChar"/>
    <w:uiPriority w:val="99"/>
    <w:semiHidden/>
    <w:unhideWhenUsed/>
    <w:rsid w:val="00A32821"/>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semiHidden/>
    <w:rsid w:val="00A32821"/>
    <w:rPr>
      <w:rFonts w:ascii="Arial" w:eastAsia="Calibri" w:hAnsi="Arial" w:cs="Arial"/>
      <w:lang w:eastAsia="en-US"/>
    </w:rPr>
  </w:style>
  <w:style w:type="character" w:styleId="Hyperlink">
    <w:name w:val="Hyperlink"/>
    <w:basedOn w:val="DefaultParagraphFont"/>
    <w:uiPriority w:val="99"/>
    <w:unhideWhenUsed/>
    <w:rsid w:val="006E0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0210">
      <w:bodyDiv w:val="1"/>
      <w:marLeft w:val="0"/>
      <w:marRight w:val="0"/>
      <w:marTop w:val="0"/>
      <w:marBottom w:val="0"/>
      <w:divBdr>
        <w:top w:val="none" w:sz="0" w:space="0" w:color="auto"/>
        <w:left w:val="none" w:sz="0" w:space="0" w:color="auto"/>
        <w:bottom w:val="none" w:sz="0" w:space="0" w:color="auto"/>
        <w:right w:val="none" w:sz="0" w:space="0" w:color="auto"/>
      </w:divBdr>
    </w:div>
    <w:div w:id="819230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blogs.shu.ac.uk/academicadvising/files/2019/01/Academic-Advice-Framework.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altName w:val="Calibri"/>
    <w:panose1 w:val="00000000000000000000"/>
    <w:charset w:val="00"/>
    <w:family w:val="modern"/>
    <w:notTrueType/>
    <w:pitch w:val="variable"/>
    <w:sig w:usb0="800000AF" w:usb1="5000004A" w:usb2="00000000" w:usb3="00000000" w:csb0="0000009B" w:csb1="00000000"/>
  </w:font>
  <w:font w:name="FS Clerkenwell Light">
    <w:altName w:val="Calibri"/>
    <w:panose1 w:val="00000000000000000000"/>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5B"/>
    <w:rsid w:val="0011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5E9B3BB41D4ABB8D4F034F7E1E935C">
    <w:name w:val="0B5E9B3BB41D4ABB8D4F034F7E1E935C"/>
    <w:rsid w:val="00110E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5E9B3BB41D4ABB8D4F034F7E1E935C">
    <w:name w:val="0B5E9B3BB41D4ABB8D4F034F7E1E935C"/>
    <w:rsid w:val="00110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19BD3-AB50-4C31-8C88-251FE5C4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Natalie Brownell</cp:lastModifiedBy>
  <cp:revision>7</cp:revision>
  <cp:lastPrinted>2019-06-06T08:19:00Z</cp:lastPrinted>
  <dcterms:created xsi:type="dcterms:W3CDTF">2019-07-26T12:07:00Z</dcterms:created>
  <dcterms:modified xsi:type="dcterms:W3CDTF">2020-06-26T07:43:00Z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